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2AF852" w14:textId="77777777" w:rsidR="00607358" w:rsidRDefault="00607358">
      <w:pPr>
        <w:tabs>
          <w:tab w:val="clear" w:pos="284"/>
        </w:tabs>
        <w:spacing w:line="240" w:lineRule="auto"/>
      </w:pPr>
      <w:bookmarkStart w:id="0" w:name="_GoBack"/>
      <w:bookmarkEnd w:id="0"/>
    </w:p>
    <w:p w14:paraId="61854CDC" w14:textId="77777777" w:rsidR="00F12DD7" w:rsidRDefault="004422ED" w:rsidP="00F12DD7">
      <w:pPr>
        <w:pStyle w:val="BodyText"/>
      </w:pPr>
      <w:r>
        <w:rPr>
          <w:noProof/>
        </w:rPr>
        <w:drawing>
          <wp:anchor distT="0" distB="0" distL="114300" distR="114300" simplePos="0" relativeHeight="251684864" behindDoc="0" locked="0" layoutInCell="1" allowOverlap="1" wp14:anchorId="72D5CF05" wp14:editId="0F73E5FC">
            <wp:simplePos x="0" y="0"/>
            <wp:positionH relativeFrom="rightMargin">
              <wp:posOffset>-1043940</wp:posOffset>
            </wp:positionH>
            <wp:positionV relativeFrom="page">
              <wp:posOffset>361950</wp:posOffset>
            </wp:positionV>
            <wp:extent cx="1619885" cy="235585"/>
            <wp:effectExtent l="0" t="0" r="0" b="0"/>
            <wp:wrapNone/>
            <wp:docPr id="1" name="Picture 1" descr="aecom_imagineit_1mm_border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COMLogo" descr="aecom_imagineit_1mm_border_v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9885" cy="235585"/>
                    </a:xfrm>
                    <a:prstGeom prst="rect">
                      <a:avLst/>
                    </a:prstGeom>
                    <a:noFill/>
                  </pic:spPr>
                </pic:pic>
              </a:graphicData>
            </a:graphic>
            <wp14:sizeRelH relativeFrom="page">
              <wp14:pctWidth>0</wp14:pctWidth>
            </wp14:sizeRelH>
            <wp14:sizeRelV relativeFrom="page">
              <wp14:pctHeight>0</wp14:pctHeight>
            </wp14:sizeRelV>
          </wp:anchor>
        </w:drawing>
      </w:r>
      <w:r w:rsidR="007B7A3A">
        <w:rPr>
          <w:noProof/>
        </w:rPr>
        <w:drawing>
          <wp:anchor distT="0" distB="0" distL="114300" distR="114300" simplePos="0" relativeHeight="251682816" behindDoc="0" locked="0" layoutInCell="1" allowOverlap="1" wp14:anchorId="6C4AAF10" wp14:editId="082AF3B3">
            <wp:simplePos x="0" y="0"/>
            <wp:positionH relativeFrom="rightMargin">
              <wp:posOffset>-1043940</wp:posOffset>
            </wp:positionH>
            <wp:positionV relativeFrom="page">
              <wp:posOffset>361950</wp:posOffset>
            </wp:positionV>
            <wp:extent cx="1619885" cy="235585"/>
            <wp:effectExtent l="0" t="0" r="0" b="0"/>
            <wp:wrapNone/>
            <wp:docPr id="6" name="Picture 6" descr="aecom_imagineit_1mm_border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COMLogo" descr="aecom_imagineit_1mm_border_v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9885" cy="235585"/>
                    </a:xfrm>
                    <a:prstGeom prst="rect">
                      <a:avLst/>
                    </a:prstGeom>
                    <a:noFill/>
                  </pic:spPr>
                </pic:pic>
              </a:graphicData>
            </a:graphic>
            <wp14:sizeRelH relativeFrom="page">
              <wp14:pctWidth>0</wp14:pctWidth>
            </wp14:sizeRelH>
            <wp14:sizeRelV relativeFrom="page">
              <wp14:pctHeight>0</wp14:pctHeight>
            </wp14:sizeRelV>
          </wp:anchor>
        </w:drawing>
      </w:r>
      <w:r w:rsidR="00F12DD7">
        <w:rPr>
          <w:noProof/>
        </w:rPr>
        <mc:AlternateContent>
          <mc:Choice Requires="wps">
            <w:drawing>
              <wp:anchor distT="0" distB="0" distL="114300" distR="114300" simplePos="0" relativeHeight="251676672" behindDoc="0" locked="0" layoutInCell="0" allowOverlap="1" wp14:anchorId="72D3C94E" wp14:editId="41DEA6C7">
                <wp:simplePos x="0" y="0"/>
                <wp:positionH relativeFrom="column">
                  <wp:posOffset>0</wp:posOffset>
                </wp:positionH>
                <wp:positionV relativeFrom="page">
                  <wp:posOffset>361507</wp:posOffset>
                </wp:positionV>
                <wp:extent cx="4284921" cy="202019"/>
                <wp:effectExtent l="0" t="0" r="1905" b="5715"/>
                <wp:wrapNone/>
                <wp:docPr id="4" name="CoverAdditionalCompany"/>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4921" cy="202019"/>
                        </a:xfrm>
                        <a:prstGeom prst="rect">
                          <a:avLst/>
                        </a:prstGeom>
                        <a:noFill/>
                        <a:ln w="9525">
                          <a:noFill/>
                          <a:miter lim="800000"/>
                          <a:headEnd/>
                          <a:tailEnd/>
                        </a:ln>
                      </wps:spPr>
                      <wps:txbx>
                        <w:txbxContent>
                          <w:p w14:paraId="60B823AE" w14:textId="298FA72A" w:rsidR="000B74A0" w:rsidRPr="00F74319" w:rsidRDefault="000B74A0" w:rsidP="00F83749">
                            <w:pPr>
                              <w:pStyle w:val="Subtitleheading"/>
                              <w:rPr>
                                <w:b/>
                                <w:sz w:val="36"/>
                                <w:szCs w:val="36"/>
                              </w:rP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2D3C94E" id="_x0000_t202" coordsize="21600,21600" o:spt="202" path="m,l,21600r21600,l21600,xe">
                <v:stroke joinstyle="miter"/>
                <v:path gradientshapeok="t" o:connecttype="rect"/>
              </v:shapetype>
              <v:shape id="CoverAdditionalCompany" o:spid="_x0000_s1026" type="#_x0000_t202" style="position:absolute;margin-left:0;margin-top:28.45pt;width:337.4pt;height:15.9pt;z-index:251676672;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" o:allowincell="f" filled="f" stroked="f">
                <v:textbox style="mso-fit-shape-to-text:t" inset="0,0,0,0">
                  <w:txbxContent>
                    <w:p w14:paraId="60B823AE" w14:textId="298FA72A" w:rsidR="000B74A0" w:rsidRPr="00F74319" w:rsidRDefault="000B74A0" w:rsidP="00F83749">
                      <w:pPr>
                        <w:pStyle w:val="Subtitleheading"/>
                        <w:rPr>
                          <w:b/>
                          <w:sz w:val="36"/>
                          <w:szCs w:val="36"/>
                        </w:rPr>
                      </w:pPr>
                    </w:p>
                  </w:txbxContent>
                </v:textbox>
                <w10:wrap anchory="page"/>
              </v:shape>
            </w:pict>
          </mc:Fallback>
        </mc:AlternateContent>
      </w:r>
    </w:p>
    <w:p w14:paraId="51E2836A" w14:textId="77777777" w:rsidR="00F12DD7" w:rsidRDefault="00606621" w:rsidP="00F12DD7">
      <w:pPr>
        <w:pStyle w:val="BodyText"/>
      </w:pPr>
      <w:r>
        <w:rPr>
          <w:noProof/>
        </w:rPr>
        <mc:AlternateContent>
          <mc:Choice Requires="wps">
            <w:drawing>
              <wp:anchor distT="0" distB="0" distL="114300" distR="114300" simplePos="0" relativeHeight="251665408" behindDoc="0" locked="0" layoutInCell="0" allowOverlap="1" wp14:anchorId="15B0FA6F" wp14:editId="41843B82">
                <wp:simplePos x="0" y="0"/>
                <wp:positionH relativeFrom="column">
                  <wp:posOffset>0</wp:posOffset>
                </wp:positionH>
                <wp:positionV relativeFrom="page">
                  <wp:align>bottom</wp:align>
                </wp:positionV>
                <wp:extent cx="5943600" cy="1354455"/>
                <wp:effectExtent l="0" t="0" r="0" b="0"/>
                <wp:wrapNone/>
                <wp:docPr id="307" name="CoverFooter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54455"/>
                        </a:xfrm>
                        <a:prstGeom prst="rect">
                          <a:avLst/>
                        </a:prstGeom>
                        <a:noFill/>
                        <a:ln w="9525">
                          <a:noFill/>
                          <a:miter lim="800000"/>
                          <a:headEnd/>
                          <a:tailEnd/>
                        </a:ln>
                      </wps:spPr>
                      <wps:txbx>
                        <w:txbxContent>
                          <w:tbl>
                            <w:tblPr>
                              <w:tblStyle w:val="Plaingrid"/>
                              <w:tblW w:w="4950" w:type="pct"/>
                              <w:tblLook w:val="04A0" w:firstRow="1" w:lastRow="0" w:firstColumn="1" w:lastColumn="0" w:noHBand="0" w:noVBand="1"/>
                            </w:tblPr>
                            <w:tblGrid>
                              <w:gridCol w:w="2687"/>
                              <w:gridCol w:w="2951"/>
                              <w:gridCol w:w="3615"/>
                            </w:tblGrid>
                            <w:tr w:rsidR="000B74A0" w:rsidRPr="004422ED" w14:paraId="07B12CE9" w14:textId="77777777" w:rsidTr="00606621">
                              <w:trPr>
                                <w:trHeight w:val="1554"/>
                              </w:trPr>
                              <w:tc>
                                <w:tcPr>
                                  <w:tcW w:w="2635" w:type="dxa"/>
                                  <w:vAlign w:val="bottom"/>
                                </w:tcPr>
                                <w:bookmarkStart w:id="1" w:name="Cover3" w:colFirst="0" w:colLast="2"/>
                                <w:bookmarkStart w:id="2" w:name="CoverTable2"/>
                                <w:p w14:paraId="431E1211" w14:textId="77777777" w:rsidR="000B74A0" w:rsidRPr="004422ED" w:rsidRDefault="000B74A0" w:rsidP="008A19FD">
                                  <w:pPr>
                                    <w:pStyle w:val="Coverfooter"/>
                                    <w:rPr>
                                      <w:color w:val="000000"/>
                                    </w:rPr>
                                  </w:pPr>
                                  <w:r w:rsidRPr="004422ED">
                                    <w:rPr>
                                      <w:color w:val="000000"/>
                                    </w:rPr>
                                    <w:fldChar w:fldCharType="begin"/>
                                  </w:r>
                                  <w:r w:rsidRPr="004422ED">
                                    <w:rPr>
                                      <w:color w:val="000000"/>
                                    </w:rPr>
                                    <w:instrText xml:space="preserve"> DOCPROPERTY  FooterClientAddress \* MERGEFORMAT </w:instrText>
                                  </w:r>
                                  <w:r w:rsidRPr="004422ED">
                                    <w:rPr>
                                      <w:color w:val="000000"/>
                                    </w:rPr>
                                    <w:fldChar w:fldCharType="end"/>
                                  </w:r>
                                </w:p>
                              </w:tc>
                              <w:tc>
                                <w:tcPr>
                                  <w:tcW w:w="2894" w:type="dxa"/>
                                  <w:vAlign w:val="bottom"/>
                                </w:tcPr>
                                <w:p w14:paraId="73A80032" w14:textId="77777777" w:rsidR="000B74A0" w:rsidRPr="004422ED" w:rsidRDefault="000B74A0" w:rsidP="00BA5047">
                                  <w:pPr>
                                    <w:pStyle w:val="Coverfooter"/>
                                    <w:jc w:val="center"/>
                                    <w:rPr>
                                      <w:b/>
                                      <w:caps/>
                                      <w:color w:val="000000"/>
                                      <w:sz w:val="18"/>
                                      <w:szCs w:val="18"/>
                                    </w:rPr>
                                  </w:pPr>
                                  <w:r w:rsidRPr="004422ED">
                                    <w:rPr>
                                      <w:b/>
                                      <w:caps/>
                                      <w:color w:val="000000"/>
                                      <w:sz w:val="18"/>
                                      <w:szCs w:val="18"/>
                                    </w:rPr>
                                    <w:fldChar w:fldCharType="begin"/>
                                  </w:r>
                                  <w:r w:rsidRPr="004422ED">
                                    <w:rPr>
                                      <w:b/>
                                      <w:caps/>
                                      <w:color w:val="000000"/>
                                      <w:sz w:val="18"/>
                                      <w:szCs w:val="18"/>
                                    </w:rPr>
                                    <w:instrText xml:space="preserve"> DOCPROPERTY  ProtectiveMarking \* MERGEFORMAT </w:instrText>
                                  </w:r>
                                  <w:r w:rsidRPr="004422ED">
                                    <w:rPr>
                                      <w:b/>
                                      <w:caps/>
                                      <w:color w:val="000000"/>
                                      <w:sz w:val="18"/>
                                      <w:szCs w:val="18"/>
                                    </w:rPr>
                                    <w:fldChar w:fldCharType="end"/>
                                  </w:r>
                                </w:p>
                                <w:p w14:paraId="0F1C7F32" w14:textId="77777777" w:rsidR="000B74A0" w:rsidRPr="004422ED" w:rsidRDefault="000B74A0" w:rsidP="00BA5047">
                                  <w:pPr>
                                    <w:pStyle w:val="Coverfooter"/>
                                    <w:jc w:val="center"/>
                                    <w:rPr>
                                      <w:color w:val="000000"/>
                                    </w:rPr>
                                  </w:pPr>
                                  <w:r w:rsidRPr="004422ED">
                                    <w:rPr>
                                      <w:color w:val="000000"/>
                                    </w:rPr>
                                    <w:fldChar w:fldCharType="begin"/>
                                  </w:r>
                                  <w:r w:rsidRPr="004422ED">
                                    <w:rPr>
                                      <w:color w:val="000000"/>
                                    </w:rPr>
                                    <w:instrText xml:space="preserve"> DOCPROPERTY  Copies \* MERGEFORMAT </w:instrText>
                                  </w:r>
                                  <w:r w:rsidRPr="004422ED">
                                    <w:rPr>
                                      <w:color w:val="000000"/>
                                    </w:rPr>
                                    <w:fldChar w:fldCharType="end"/>
                                  </w:r>
                                </w:p>
                              </w:tc>
                              <w:tc>
                                <w:tcPr>
                                  <w:tcW w:w="3545" w:type="dxa"/>
                                  <w:vAlign w:val="bottom"/>
                                </w:tcPr>
                                <w:p w14:paraId="53484C8C" w14:textId="77777777" w:rsidR="000B74A0" w:rsidRPr="004422ED" w:rsidRDefault="000B74A0" w:rsidP="008A19FD">
                                  <w:pPr>
                                    <w:pStyle w:val="Coverfooter"/>
                                    <w:rPr>
                                      <w:color w:val="000000"/>
                                    </w:rPr>
                                  </w:pPr>
                                </w:p>
                                <w:p w14:paraId="17AD7738" w14:textId="77777777" w:rsidR="000B74A0" w:rsidRPr="004422ED" w:rsidRDefault="000B74A0" w:rsidP="008A19FD">
                                  <w:pPr>
                                    <w:pStyle w:val="Coverfooter"/>
                                    <w:rPr>
                                      <w:color w:val="000000"/>
                                    </w:rPr>
                                  </w:pPr>
                                </w:p>
                                <w:p w14:paraId="74C36972" w14:textId="77777777" w:rsidR="000B74A0" w:rsidRPr="004422ED" w:rsidRDefault="000B74A0" w:rsidP="008A19FD">
                                  <w:pPr>
                                    <w:pStyle w:val="Coverfooter"/>
                                    <w:rPr>
                                      <w:color w:val="000000"/>
                                    </w:rPr>
                                  </w:pPr>
                                </w:p>
                              </w:tc>
                            </w:tr>
                            <w:bookmarkEnd w:id="1"/>
                            <w:bookmarkEnd w:id="2"/>
                          </w:tbl>
                          <w:p w14:paraId="331488BD" w14:textId="77777777" w:rsidR="000B74A0" w:rsidRDefault="000B74A0" w:rsidP="00DA79BC"/>
                        </w:txbxContent>
                      </wps:txbx>
                      <wps:bodyPr rot="0" vert="horz" wrap="square" lIns="0" tIns="0" rIns="0" bIns="3600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B0FA6F" id="_x0000_t202" coordsize="21600,21600" o:spt="202" path="m,l,21600r21600,l21600,xe">
                <v:stroke joinstyle="miter"/>
                <v:path gradientshapeok="t" o:connecttype="rect"/>
              </v:shapetype>
              <v:shape id="CoverFooterBox" o:spid="_x0000_s1027" type="#_x0000_t202" style="position:absolute;margin-left:0;margin-top:0;width:468pt;height:106.65pt;z-index:251665408;visibility:visible;mso-wrap-style:square;mso-width-percent:0;mso-height-percent:0;mso-wrap-distance-left:9pt;mso-wrap-distance-top:0;mso-wrap-distance-right:9pt;mso-wrap-distance-bottom:0;mso-position-horizontal:absolute;mso-position-horizontal-relative:text;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" o:allowincell="f" filled="f" stroked="f">
                <v:textbox inset="0,0,0,1mm">
                  <w:txbxContent>
                    <w:tbl>
                      <w:tblPr>
                        <w:tblStyle w:val="Plaingrid"/>
                        <w:tblW w:w="4950" w:type="pct"/>
                        <w:tblLook w:val="04A0" w:firstRow="1" w:lastRow="0" w:firstColumn="1" w:lastColumn="0" w:noHBand="0" w:noVBand="1"/>
                      </w:tblPr>
                      <w:tblGrid>
                        <w:gridCol w:w="2687"/>
                        <w:gridCol w:w="2951"/>
                        <w:gridCol w:w="3615"/>
                      </w:tblGrid>
                      <w:tr w:rsidR="000B74A0" w:rsidRPr="004422ED" w14:paraId="07B12CE9" w14:textId="77777777" w:rsidTr="00606621">
                        <w:trPr>
                          <w:trHeight w:val="1554"/>
                        </w:trPr>
                        <w:tc>
                          <w:tcPr>
                            <w:tcW w:w="2635" w:type="dxa"/>
                            <w:vAlign w:val="bottom"/>
                          </w:tcPr>
                          <w:bookmarkStart w:id="3" w:name="Cover3" w:colFirst="0" w:colLast="2"/>
                          <w:bookmarkStart w:id="4" w:name="CoverTable2"/>
                          <w:p w14:paraId="431E1211" w14:textId="77777777" w:rsidR="000B74A0" w:rsidRPr="004422ED" w:rsidRDefault="000B74A0" w:rsidP="008A19FD">
                            <w:pPr>
                              <w:pStyle w:val="Coverfooter"/>
                              <w:rPr>
                                <w:color w:val="000000"/>
                              </w:rPr>
                            </w:pPr>
                            <w:r w:rsidRPr="004422ED">
                              <w:rPr>
                                <w:color w:val="000000"/>
                              </w:rPr>
                              <w:fldChar w:fldCharType="begin"/>
                            </w:r>
                            <w:r w:rsidRPr="004422ED">
                              <w:rPr>
                                <w:color w:val="000000"/>
                              </w:rPr>
                              <w:instrText xml:space="preserve"> DOCPROPERTY  FooterClientAddress \* MERGEFORMAT </w:instrText>
                            </w:r>
                            <w:r w:rsidRPr="004422ED">
                              <w:rPr>
                                <w:color w:val="000000"/>
                              </w:rPr>
                              <w:fldChar w:fldCharType="end"/>
                            </w:r>
                          </w:p>
                        </w:tc>
                        <w:tc>
                          <w:tcPr>
                            <w:tcW w:w="2894" w:type="dxa"/>
                            <w:vAlign w:val="bottom"/>
                          </w:tcPr>
                          <w:p w14:paraId="73A80032" w14:textId="77777777" w:rsidR="000B74A0" w:rsidRPr="004422ED" w:rsidRDefault="000B74A0" w:rsidP="00BA5047">
                            <w:pPr>
                              <w:pStyle w:val="Coverfooter"/>
                              <w:jc w:val="center"/>
                              <w:rPr>
                                <w:b/>
                                <w:caps/>
                                <w:color w:val="000000"/>
                                <w:sz w:val="18"/>
                                <w:szCs w:val="18"/>
                              </w:rPr>
                            </w:pPr>
                            <w:r w:rsidRPr="004422ED">
                              <w:rPr>
                                <w:b/>
                                <w:caps/>
                                <w:color w:val="000000"/>
                                <w:sz w:val="18"/>
                                <w:szCs w:val="18"/>
                              </w:rPr>
                              <w:fldChar w:fldCharType="begin"/>
                            </w:r>
                            <w:r w:rsidRPr="004422ED">
                              <w:rPr>
                                <w:b/>
                                <w:caps/>
                                <w:color w:val="000000"/>
                                <w:sz w:val="18"/>
                                <w:szCs w:val="18"/>
                              </w:rPr>
                              <w:instrText xml:space="preserve"> DOCPROPERTY  ProtectiveMarking \* MERGEFORMAT </w:instrText>
                            </w:r>
                            <w:r w:rsidRPr="004422ED">
                              <w:rPr>
                                <w:b/>
                                <w:caps/>
                                <w:color w:val="000000"/>
                                <w:sz w:val="18"/>
                                <w:szCs w:val="18"/>
                              </w:rPr>
                              <w:fldChar w:fldCharType="end"/>
                            </w:r>
                          </w:p>
                          <w:p w14:paraId="0F1C7F32" w14:textId="77777777" w:rsidR="000B74A0" w:rsidRPr="004422ED" w:rsidRDefault="000B74A0" w:rsidP="00BA5047">
                            <w:pPr>
                              <w:pStyle w:val="Coverfooter"/>
                              <w:jc w:val="center"/>
                              <w:rPr>
                                <w:color w:val="000000"/>
                              </w:rPr>
                            </w:pPr>
                            <w:r w:rsidRPr="004422ED">
                              <w:rPr>
                                <w:color w:val="000000"/>
                              </w:rPr>
                              <w:fldChar w:fldCharType="begin"/>
                            </w:r>
                            <w:r w:rsidRPr="004422ED">
                              <w:rPr>
                                <w:color w:val="000000"/>
                              </w:rPr>
                              <w:instrText xml:space="preserve"> DOCPROPERTY  Copies \* MERGEFORMAT </w:instrText>
                            </w:r>
                            <w:r w:rsidRPr="004422ED">
                              <w:rPr>
                                <w:color w:val="000000"/>
                              </w:rPr>
                              <w:fldChar w:fldCharType="end"/>
                            </w:r>
                          </w:p>
                        </w:tc>
                        <w:tc>
                          <w:tcPr>
                            <w:tcW w:w="3545" w:type="dxa"/>
                            <w:vAlign w:val="bottom"/>
                          </w:tcPr>
                          <w:p w14:paraId="53484C8C" w14:textId="77777777" w:rsidR="000B74A0" w:rsidRPr="004422ED" w:rsidRDefault="000B74A0" w:rsidP="008A19FD">
                            <w:pPr>
                              <w:pStyle w:val="Coverfooter"/>
                              <w:rPr>
                                <w:color w:val="000000"/>
                              </w:rPr>
                            </w:pPr>
                          </w:p>
                          <w:p w14:paraId="17AD7738" w14:textId="77777777" w:rsidR="000B74A0" w:rsidRPr="004422ED" w:rsidRDefault="000B74A0" w:rsidP="008A19FD">
                            <w:pPr>
                              <w:pStyle w:val="Coverfooter"/>
                              <w:rPr>
                                <w:color w:val="000000"/>
                              </w:rPr>
                            </w:pPr>
                          </w:p>
                          <w:p w14:paraId="74C36972" w14:textId="77777777" w:rsidR="000B74A0" w:rsidRPr="004422ED" w:rsidRDefault="000B74A0" w:rsidP="008A19FD">
                            <w:pPr>
                              <w:pStyle w:val="Coverfooter"/>
                              <w:rPr>
                                <w:color w:val="000000"/>
                              </w:rPr>
                            </w:pPr>
                          </w:p>
                        </w:tc>
                      </w:tr>
                      <w:bookmarkEnd w:id="3"/>
                      <w:bookmarkEnd w:id="4"/>
                    </w:tbl>
                    <w:p w14:paraId="331488BD" w14:textId="77777777" w:rsidR="000B74A0" w:rsidRDefault="000B74A0" w:rsidP="00DA79BC"/>
                  </w:txbxContent>
                </v:textbox>
                <w10:wrap anchory="page"/>
              </v:shape>
            </w:pict>
          </mc:Fallback>
        </mc:AlternateContent>
      </w:r>
    </w:p>
    <w:p w14:paraId="79D85E22" w14:textId="77777777" w:rsidR="00F12DD7" w:rsidRDefault="00C63FC9" w:rsidP="00F12DD7">
      <w:pPr>
        <w:pStyle w:val="BodyText"/>
        <w:sectPr w:rsidR="00F12DD7" w:rsidSect="007B7A3A">
          <w:pgSz w:w="12240" w:h="15840" w:code="9"/>
          <w:pgMar w:top="1134" w:right="1440" w:bottom="851" w:left="1440" w:header="709" w:footer="284" w:gutter="0"/>
          <w:cols w:space="708"/>
          <w:docGrid w:linePitch="360"/>
        </w:sectPr>
      </w:pPr>
      <w:r>
        <w:rPr>
          <w:noProof/>
        </w:rPr>
        <mc:AlternateContent>
          <mc:Choice Requires="wps">
            <w:drawing>
              <wp:anchor distT="0" distB="0" distL="114300" distR="114300" simplePos="0" relativeHeight="251671552" behindDoc="0" locked="0" layoutInCell="0" allowOverlap="1" wp14:anchorId="08EBB323" wp14:editId="5543EF13">
                <wp:simplePos x="0" y="0"/>
                <wp:positionH relativeFrom="margin">
                  <wp:posOffset>0</wp:posOffset>
                </wp:positionH>
                <wp:positionV relativeFrom="page">
                  <wp:posOffset>3260785</wp:posOffset>
                </wp:positionV>
                <wp:extent cx="5943600" cy="5676181"/>
                <wp:effectExtent l="0" t="0" r="0" b="1270"/>
                <wp:wrapNone/>
                <wp:docPr id="7" name="CoverTitle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676181"/>
                        </a:xfrm>
                        <a:prstGeom prst="rect">
                          <a:avLst/>
                        </a:prstGeom>
                        <a:noFill/>
                        <a:ln w="9525">
                          <a:noFill/>
                          <a:miter lim="800000"/>
                          <a:headEnd/>
                          <a:tailEnd/>
                        </a:ln>
                      </wps:spPr>
                      <wps:txbx>
                        <w:txbxContent>
                          <w:tbl>
                            <w:tblPr>
                              <w:tblStyle w:val="Plaingrid"/>
                              <w:tblW w:w="4711" w:type="pct"/>
                              <w:tblLook w:val="04A0" w:firstRow="1" w:lastRow="0" w:firstColumn="1" w:lastColumn="0" w:noHBand="0" w:noVBand="1"/>
                            </w:tblPr>
                            <w:tblGrid>
                              <w:gridCol w:w="8806"/>
                            </w:tblGrid>
                            <w:tr w:rsidR="000B74A0" w:rsidRPr="004422ED" w14:paraId="22E8E180" w14:textId="77777777" w:rsidTr="00472819">
                              <w:trPr>
                                <w:trHeight w:val="3547"/>
                              </w:trPr>
                              <w:tc>
                                <w:tcPr>
                                  <w:tcW w:w="8820" w:type="dxa"/>
                                </w:tcPr>
                                <w:p w14:paraId="4F1B7B94" w14:textId="77777777" w:rsidR="000B74A0" w:rsidRPr="004422ED" w:rsidRDefault="000B74A0" w:rsidP="00E7679A">
                                  <w:pPr>
                                    <w:pStyle w:val="Title"/>
                                    <w:rPr>
                                      <w:color w:val="000000"/>
                                    </w:rPr>
                                  </w:pPr>
                                  <w:bookmarkStart w:id="5" w:name="Cover1" w:colFirst="0" w:colLast="1"/>
                                  <w:bookmarkStart w:id="6" w:name="CoverTable1"/>
                                  <w:r>
                                    <w:rPr>
                                      <w:color w:val="000000"/>
                                    </w:rPr>
                                    <w:t>Utilization of AVL/GPS Technology Case Study: Wisconsin Department of Transportation</w:t>
                                  </w:r>
                                </w:p>
                                <w:p w14:paraId="6C60C729" w14:textId="77777777" w:rsidR="000B74A0" w:rsidRPr="004422ED" w:rsidRDefault="000B74A0" w:rsidP="00F83749">
                                  <w:pPr>
                                    <w:pStyle w:val="Subtitleheading"/>
                                    <w:rPr>
                                      <w:color w:val="000000"/>
                                      <w:sz w:val="32"/>
                                    </w:rPr>
                                  </w:pPr>
                                  <w:r w:rsidRPr="004422ED">
                                    <w:rPr>
                                      <w:color w:val="000000"/>
                                      <w:sz w:val="32"/>
                                    </w:rPr>
                                    <w:fldChar w:fldCharType="begin"/>
                                  </w:r>
                                  <w:r w:rsidRPr="004422ED">
                                    <w:rPr>
                                      <w:color w:val="000000"/>
                                      <w:sz w:val="32"/>
                                    </w:rPr>
                                    <w:instrText xml:space="preserve"> DOCPROPERTY  SubTitle \* MERGEFORMAT </w:instrText>
                                  </w:r>
                                  <w:r w:rsidRPr="004422ED">
                                    <w:rPr>
                                      <w:color w:val="000000"/>
                                      <w:sz w:val="32"/>
                                    </w:rPr>
                                    <w:fldChar w:fldCharType="separate"/>
                                  </w:r>
                                  <w:r>
                                    <w:rPr>
                                      <w:color w:val="000000"/>
                                      <w:sz w:val="32"/>
                                    </w:rPr>
                                    <w:t>Clear Roads Project 16-01: Utilization of AVL/GPS Technology: Case Studies</w:t>
                                  </w:r>
                                  <w:r w:rsidRPr="004422ED">
                                    <w:rPr>
                                      <w:color w:val="000000"/>
                                      <w:sz w:val="32"/>
                                    </w:rPr>
                                    <w:fldChar w:fldCharType="end"/>
                                  </w:r>
                                </w:p>
                                <w:p w14:paraId="57C56D66" w14:textId="77777777" w:rsidR="000B74A0" w:rsidRDefault="000B74A0" w:rsidP="00F83749">
                                  <w:pPr>
                                    <w:pStyle w:val="Subtitleheading"/>
                                    <w:rPr>
                                      <w:color w:val="000000"/>
                                    </w:rPr>
                                  </w:pPr>
                                </w:p>
                                <w:p w14:paraId="4C02C57C" w14:textId="77777777" w:rsidR="000B74A0" w:rsidRPr="004422ED" w:rsidRDefault="000B74A0" w:rsidP="00F83749">
                                  <w:pPr>
                                    <w:pStyle w:val="Subtitleheading"/>
                                    <w:rPr>
                                      <w:color w:val="000000"/>
                                    </w:rPr>
                                  </w:pPr>
                                  <w:r w:rsidRPr="004422ED">
                                    <w:rPr>
                                      <w:color w:val="000000"/>
                                    </w:rPr>
                                    <w:fldChar w:fldCharType="begin"/>
                                  </w:r>
                                  <w:r w:rsidRPr="004422ED">
                                    <w:rPr>
                                      <w:color w:val="000000"/>
                                    </w:rPr>
                                    <w:instrText xml:space="preserve"> DOCPROPERTY  SupplementaryTitle \* MERGEFORMAT </w:instrText>
                                  </w:r>
                                  <w:r w:rsidRPr="004422ED">
                                    <w:rPr>
                                      <w:color w:val="000000"/>
                                    </w:rPr>
                                    <w:fldChar w:fldCharType="end"/>
                                  </w:r>
                                </w:p>
                                <w:p w14:paraId="215F0150" w14:textId="77777777" w:rsidR="000B74A0" w:rsidRDefault="000B74A0" w:rsidP="00F83749">
                                  <w:pPr>
                                    <w:pStyle w:val="Subtitleheading"/>
                                    <w:rPr>
                                      <w:color w:val="000000"/>
                                    </w:rPr>
                                  </w:pPr>
                                  <w:r w:rsidRPr="005220C8">
                                    <w:rPr>
                                      <w:noProof/>
                                    </w:rPr>
                                    <w:drawing>
                                      <wp:inline distT="0" distB="0" distL="0" distR="0" wp14:anchorId="5CAA7759" wp14:editId="12B18759">
                                        <wp:extent cx="3291840" cy="2468880"/>
                                        <wp:effectExtent l="0" t="0" r="3810" b="7620"/>
                                        <wp:docPr id="13" name="Picture 13" descr="P:\Trans\60535309 AVL Case Studies\400-Technical\433-Case Study Work\Case Study Reports\Tier 3B -- Wisconsin DOT\WisDOT Photos\For Report\IMG_1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Trans\60535309 AVL Case Studies\400-Technical\433-Case Study Work\Case Study Reports\Tier 3B -- Wisconsin DOT\WisDOT Photos\For Report\IMG_103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91840" cy="2468880"/>
                                                </a:xfrm>
                                                <a:prstGeom prst="rect">
                                                  <a:avLst/>
                                                </a:prstGeom>
                                                <a:noFill/>
                                                <a:ln>
                                                  <a:noFill/>
                                                </a:ln>
                                              </pic:spPr>
                                            </pic:pic>
                                          </a:graphicData>
                                        </a:graphic>
                                      </wp:inline>
                                    </w:drawing>
                                  </w:r>
                                </w:p>
                                <w:p w14:paraId="54C216AE" w14:textId="77777777" w:rsidR="000B74A0" w:rsidRDefault="000B74A0" w:rsidP="00F83749">
                                  <w:pPr>
                                    <w:pStyle w:val="Subtitleheading"/>
                                    <w:rPr>
                                      <w:color w:val="000000"/>
                                    </w:rPr>
                                  </w:pPr>
                                </w:p>
                                <w:p w14:paraId="34ECE907" w14:textId="77777777" w:rsidR="000B74A0" w:rsidRDefault="000B74A0" w:rsidP="00F83749">
                                  <w:pPr>
                                    <w:pStyle w:val="Subtitleheading"/>
                                    <w:rPr>
                                      <w:color w:val="000000"/>
                                    </w:rPr>
                                  </w:pPr>
                                </w:p>
                                <w:p w14:paraId="7FB486E2" w14:textId="77777777" w:rsidR="000B74A0" w:rsidRDefault="000B74A0" w:rsidP="00F83749">
                                  <w:pPr>
                                    <w:pStyle w:val="Subtitleheading"/>
                                    <w:rPr>
                                      <w:color w:val="000000"/>
                                    </w:rPr>
                                  </w:pPr>
                                </w:p>
                                <w:p w14:paraId="4BA78808" w14:textId="77777777" w:rsidR="000B74A0" w:rsidRDefault="000B74A0" w:rsidP="00F83749">
                                  <w:pPr>
                                    <w:pStyle w:val="Subtitleheading"/>
                                    <w:rPr>
                                      <w:color w:val="000000"/>
                                    </w:rPr>
                                  </w:pPr>
                                </w:p>
                                <w:p w14:paraId="751A8587" w14:textId="77777777" w:rsidR="000B74A0" w:rsidRPr="004422ED" w:rsidRDefault="000B74A0" w:rsidP="00F83749">
                                  <w:pPr>
                                    <w:pStyle w:val="Subtitleheading"/>
                                    <w:rPr>
                                      <w:color w:val="000000"/>
                                    </w:rPr>
                                  </w:pPr>
                                  <w:r w:rsidRPr="004422ED">
                                    <w:rPr>
                                      <w:color w:val="000000"/>
                                    </w:rPr>
                                    <w:fldChar w:fldCharType="begin"/>
                                  </w:r>
                                  <w:r w:rsidRPr="004422ED">
                                    <w:rPr>
                                      <w:color w:val="000000"/>
                                    </w:rPr>
                                    <w:instrText xml:space="preserve"> DOCPROPERTY  ClientName \* MERGEFORMAT </w:instrText>
                                  </w:r>
                                  <w:r w:rsidRPr="004422ED">
                                    <w:rPr>
                                      <w:color w:val="000000"/>
                                    </w:rPr>
                                    <w:fldChar w:fldCharType="end"/>
                                  </w:r>
                                </w:p>
                                <w:p w14:paraId="15817818" w14:textId="36CA29A4" w:rsidR="000B74A0" w:rsidRPr="004422ED" w:rsidRDefault="000B74A0" w:rsidP="00BA5047">
                                  <w:pPr>
                                    <w:pStyle w:val="Coverfooter"/>
                                    <w:rPr>
                                      <w:color w:val="000000"/>
                                    </w:rPr>
                                  </w:pPr>
                                  <w:r>
                                    <w:rPr>
                                      <w:color w:val="000000"/>
                                      <w:sz w:val="24"/>
                                    </w:rPr>
                                    <w:t>May 15, 2018</w:t>
                                  </w:r>
                                </w:p>
                              </w:tc>
                            </w:tr>
                            <w:bookmarkEnd w:id="5"/>
                            <w:bookmarkEnd w:id="6"/>
                          </w:tbl>
                          <w:p w14:paraId="5B1FA87E" w14:textId="77777777" w:rsidR="000B74A0" w:rsidRDefault="000B74A0" w:rsidP="00213392"/>
                        </w:txbxContent>
                      </wps:txbx>
                      <wps:bodyPr rot="0" vert="horz" wrap="square" lIns="0" tIns="0" rIns="0" bIns="36000" anchor="t" anchorCtr="0">
                        <a:noAutofit/>
                      </wps:bodyPr>
                    </wps:wsp>
                  </a:graphicData>
                </a:graphic>
                <wp14:sizeRelH relativeFrom="margin">
                  <wp14:pctWidth>0</wp14:pctWidth>
                </wp14:sizeRelH>
                <wp14:sizeRelV relativeFrom="page">
                  <wp14:pctHeight>0</wp14:pctHeight>
                </wp14:sizeRelV>
              </wp:anchor>
            </w:drawing>
          </mc:Choice>
          <mc:Fallback>
            <w:pict>
              <v:shape w14:anchorId="08EBB323" id="CoverTitleBox" o:spid="_x0000_s1028" type="#_x0000_t202" style="position:absolute;margin-left:0;margin-top:256.75pt;width:468pt;height:446.9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" o:allowincell="f" filled="f" stroked="f">
                <v:textbox inset="0,0,0,1mm">
                  <w:txbxContent>
                    <w:tbl>
                      <w:tblPr>
                        <w:tblStyle w:val="Plaingrid"/>
                        <w:tblW w:w="4711" w:type="pct"/>
                        <w:tblLook w:val="04A0" w:firstRow="1" w:lastRow="0" w:firstColumn="1" w:lastColumn="0" w:noHBand="0" w:noVBand="1"/>
                      </w:tblPr>
                      <w:tblGrid>
                        <w:gridCol w:w="8806"/>
                      </w:tblGrid>
                      <w:tr w:rsidR="000B74A0" w:rsidRPr="004422ED" w14:paraId="22E8E180" w14:textId="77777777" w:rsidTr="00472819">
                        <w:trPr>
                          <w:trHeight w:val="3547"/>
                        </w:trPr>
                        <w:tc>
                          <w:tcPr>
                            <w:tcW w:w="8820" w:type="dxa"/>
                          </w:tcPr>
                          <w:p w14:paraId="4F1B7B94" w14:textId="77777777" w:rsidR="000B74A0" w:rsidRPr="004422ED" w:rsidRDefault="000B74A0" w:rsidP="00E7679A">
                            <w:pPr>
                              <w:pStyle w:val="Title"/>
                              <w:rPr>
                                <w:color w:val="000000"/>
                              </w:rPr>
                            </w:pPr>
                            <w:bookmarkStart w:id="7" w:name="Cover1" w:colFirst="0" w:colLast="1"/>
                            <w:bookmarkStart w:id="8" w:name="CoverTable1"/>
                            <w:r>
                              <w:rPr>
                                <w:color w:val="000000"/>
                              </w:rPr>
                              <w:t>Utilization of AVL/GPS Technology Case Study: Wisconsin Department of Transportation</w:t>
                            </w:r>
                          </w:p>
                          <w:p w14:paraId="6C60C729" w14:textId="77777777" w:rsidR="000B74A0" w:rsidRPr="004422ED" w:rsidRDefault="000B74A0" w:rsidP="00F83749">
                            <w:pPr>
                              <w:pStyle w:val="Subtitleheading"/>
                              <w:rPr>
                                <w:color w:val="000000"/>
                                <w:sz w:val="32"/>
                              </w:rPr>
                            </w:pPr>
                            <w:r w:rsidRPr="004422ED">
                              <w:rPr>
                                <w:color w:val="000000"/>
                                <w:sz w:val="32"/>
                              </w:rPr>
                              <w:fldChar w:fldCharType="begin"/>
                            </w:r>
                            <w:r w:rsidRPr="004422ED">
                              <w:rPr>
                                <w:color w:val="000000"/>
                                <w:sz w:val="32"/>
                              </w:rPr>
                              <w:instrText xml:space="preserve"> DOCPROPERTY  SubTitle \* MERGEFORMAT </w:instrText>
                            </w:r>
                            <w:r w:rsidRPr="004422ED">
                              <w:rPr>
                                <w:color w:val="000000"/>
                                <w:sz w:val="32"/>
                              </w:rPr>
                              <w:fldChar w:fldCharType="separate"/>
                            </w:r>
                            <w:r>
                              <w:rPr>
                                <w:color w:val="000000"/>
                                <w:sz w:val="32"/>
                              </w:rPr>
                              <w:t>Clear Roads Project 16-01: Utilization of AVL/GPS Technology: Case Studies</w:t>
                            </w:r>
                            <w:r w:rsidRPr="004422ED">
                              <w:rPr>
                                <w:color w:val="000000"/>
                                <w:sz w:val="32"/>
                              </w:rPr>
                              <w:fldChar w:fldCharType="end"/>
                            </w:r>
                          </w:p>
                          <w:p w14:paraId="57C56D66" w14:textId="77777777" w:rsidR="000B74A0" w:rsidRDefault="000B74A0" w:rsidP="00F83749">
                            <w:pPr>
                              <w:pStyle w:val="Subtitleheading"/>
                              <w:rPr>
                                <w:color w:val="000000"/>
                              </w:rPr>
                            </w:pPr>
                          </w:p>
                          <w:p w14:paraId="4C02C57C" w14:textId="77777777" w:rsidR="000B74A0" w:rsidRPr="004422ED" w:rsidRDefault="000B74A0" w:rsidP="00F83749">
                            <w:pPr>
                              <w:pStyle w:val="Subtitleheading"/>
                              <w:rPr>
                                <w:color w:val="000000"/>
                              </w:rPr>
                            </w:pPr>
                            <w:r w:rsidRPr="004422ED">
                              <w:rPr>
                                <w:color w:val="000000"/>
                              </w:rPr>
                              <w:fldChar w:fldCharType="begin"/>
                            </w:r>
                            <w:r w:rsidRPr="004422ED">
                              <w:rPr>
                                <w:color w:val="000000"/>
                              </w:rPr>
                              <w:instrText xml:space="preserve"> DOCPROPERTY  SupplementaryTitle \* MERGEFORMAT </w:instrText>
                            </w:r>
                            <w:r w:rsidRPr="004422ED">
                              <w:rPr>
                                <w:color w:val="000000"/>
                              </w:rPr>
                              <w:fldChar w:fldCharType="end"/>
                            </w:r>
                          </w:p>
                          <w:p w14:paraId="215F0150" w14:textId="77777777" w:rsidR="000B74A0" w:rsidRDefault="000B74A0" w:rsidP="00F83749">
                            <w:pPr>
                              <w:pStyle w:val="Subtitleheading"/>
                              <w:rPr>
                                <w:color w:val="000000"/>
                              </w:rPr>
                            </w:pPr>
                            <w:r w:rsidRPr="005220C8">
                              <w:rPr>
                                <w:noProof/>
                              </w:rPr>
                              <w:drawing>
                                <wp:inline distT="0" distB="0" distL="0" distR="0" wp14:anchorId="5CAA7759" wp14:editId="12B18759">
                                  <wp:extent cx="3291840" cy="2468880"/>
                                  <wp:effectExtent l="0" t="0" r="3810" b="7620"/>
                                  <wp:docPr id="13" name="Picture 13" descr="P:\Trans\60535309 AVL Case Studies\400-Technical\433-Case Study Work\Case Study Reports\Tier 3B -- Wisconsin DOT\WisDOT Photos\For Report\IMG_1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Trans\60535309 AVL Case Studies\400-Technical\433-Case Study Work\Case Study Reports\Tier 3B -- Wisconsin DOT\WisDOT Photos\For Report\IMG_103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91840" cy="2468880"/>
                                          </a:xfrm>
                                          <a:prstGeom prst="rect">
                                            <a:avLst/>
                                          </a:prstGeom>
                                          <a:noFill/>
                                          <a:ln>
                                            <a:noFill/>
                                          </a:ln>
                                        </pic:spPr>
                                      </pic:pic>
                                    </a:graphicData>
                                  </a:graphic>
                                </wp:inline>
                              </w:drawing>
                            </w:r>
                          </w:p>
                          <w:p w14:paraId="54C216AE" w14:textId="77777777" w:rsidR="000B74A0" w:rsidRDefault="000B74A0" w:rsidP="00F83749">
                            <w:pPr>
                              <w:pStyle w:val="Subtitleheading"/>
                              <w:rPr>
                                <w:color w:val="000000"/>
                              </w:rPr>
                            </w:pPr>
                          </w:p>
                          <w:p w14:paraId="34ECE907" w14:textId="77777777" w:rsidR="000B74A0" w:rsidRDefault="000B74A0" w:rsidP="00F83749">
                            <w:pPr>
                              <w:pStyle w:val="Subtitleheading"/>
                              <w:rPr>
                                <w:color w:val="000000"/>
                              </w:rPr>
                            </w:pPr>
                          </w:p>
                          <w:p w14:paraId="7FB486E2" w14:textId="77777777" w:rsidR="000B74A0" w:rsidRDefault="000B74A0" w:rsidP="00F83749">
                            <w:pPr>
                              <w:pStyle w:val="Subtitleheading"/>
                              <w:rPr>
                                <w:color w:val="000000"/>
                              </w:rPr>
                            </w:pPr>
                          </w:p>
                          <w:p w14:paraId="4BA78808" w14:textId="77777777" w:rsidR="000B74A0" w:rsidRDefault="000B74A0" w:rsidP="00F83749">
                            <w:pPr>
                              <w:pStyle w:val="Subtitleheading"/>
                              <w:rPr>
                                <w:color w:val="000000"/>
                              </w:rPr>
                            </w:pPr>
                          </w:p>
                          <w:p w14:paraId="751A8587" w14:textId="77777777" w:rsidR="000B74A0" w:rsidRPr="004422ED" w:rsidRDefault="000B74A0" w:rsidP="00F83749">
                            <w:pPr>
                              <w:pStyle w:val="Subtitleheading"/>
                              <w:rPr>
                                <w:color w:val="000000"/>
                              </w:rPr>
                            </w:pPr>
                            <w:r w:rsidRPr="004422ED">
                              <w:rPr>
                                <w:color w:val="000000"/>
                              </w:rPr>
                              <w:fldChar w:fldCharType="begin"/>
                            </w:r>
                            <w:r w:rsidRPr="004422ED">
                              <w:rPr>
                                <w:color w:val="000000"/>
                              </w:rPr>
                              <w:instrText xml:space="preserve"> DOCPROPERTY  ClientName \* MERGEFORMAT </w:instrText>
                            </w:r>
                            <w:r w:rsidRPr="004422ED">
                              <w:rPr>
                                <w:color w:val="000000"/>
                              </w:rPr>
                              <w:fldChar w:fldCharType="end"/>
                            </w:r>
                          </w:p>
                          <w:p w14:paraId="15817818" w14:textId="36CA29A4" w:rsidR="000B74A0" w:rsidRPr="004422ED" w:rsidRDefault="000B74A0" w:rsidP="00BA5047">
                            <w:pPr>
                              <w:pStyle w:val="Coverfooter"/>
                              <w:rPr>
                                <w:color w:val="000000"/>
                              </w:rPr>
                            </w:pPr>
                            <w:r>
                              <w:rPr>
                                <w:color w:val="000000"/>
                                <w:sz w:val="24"/>
                              </w:rPr>
                              <w:t>May 15, 2018</w:t>
                            </w:r>
                          </w:p>
                        </w:tc>
                      </w:tr>
                      <w:bookmarkEnd w:id="7"/>
                      <w:bookmarkEnd w:id="8"/>
                    </w:tbl>
                    <w:p w14:paraId="5B1FA87E" w14:textId="77777777" w:rsidR="000B74A0" w:rsidRDefault="000B74A0" w:rsidP="00213392"/>
                  </w:txbxContent>
                </v:textbox>
                <w10:wrap anchorx="margin" anchory="page"/>
              </v:shape>
            </w:pict>
          </mc:Fallback>
        </mc:AlternateContent>
      </w:r>
    </w:p>
    <w:p w14:paraId="7CA03C61" w14:textId="77777777" w:rsidR="00BD0B73" w:rsidRDefault="00BD0B73" w:rsidP="00BD0B73">
      <w:bookmarkStart w:id="9" w:name="Undo_Change_font_14x52z05"/>
      <w:bookmarkEnd w:id="9"/>
      <w:r>
        <w:lastRenderedPageBreak/>
        <w:t>Technical Report Documentation Page</w:t>
      </w:r>
    </w:p>
    <w:tbl>
      <w:tblPr>
        <w:tblW w:w="9540" w:type="dxa"/>
        <w:tblInd w:w="115" w:type="dxa"/>
        <w:tblLayout w:type="fixed"/>
        <w:tblCellMar>
          <w:left w:w="0" w:type="dxa"/>
          <w:right w:w="0" w:type="dxa"/>
        </w:tblCellMar>
        <w:tblLook w:val="01E0" w:firstRow="1" w:lastRow="1" w:firstColumn="1" w:lastColumn="1" w:noHBand="0" w:noVBand="0"/>
      </w:tblPr>
      <w:tblGrid>
        <w:gridCol w:w="2500"/>
        <w:gridCol w:w="650"/>
        <w:gridCol w:w="1260"/>
        <w:gridCol w:w="880"/>
        <w:gridCol w:w="1010"/>
        <w:gridCol w:w="1710"/>
        <w:gridCol w:w="1530"/>
      </w:tblGrid>
      <w:tr w:rsidR="00BD0B73" w14:paraId="5B2850DC" w14:textId="77777777" w:rsidTr="00BD0B73">
        <w:trPr>
          <w:trHeight w:val="20"/>
        </w:trPr>
        <w:tc>
          <w:tcPr>
            <w:tcW w:w="2500" w:type="dxa"/>
            <w:tcBorders>
              <w:top w:val="single" w:sz="4" w:space="0" w:color="000000"/>
              <w:left w:val="single" w:sz="4" w:space="0" w:color="000000"/>
              <w:bottom w:val="single" w:sz="4" w:space="0" w:color="000000"/>
              <w:right w:val="single" w:sz="4" w:space="0" w:color="000000"/>
            </w:tcBorders>
            <w:hideMark/>
          </w:tcPr>
          <w:p w14:paraId="2A394329" w14:textId="77777777" w:rsidR="00BD0B73" w:rsidRDefault="00BD0B73" w:rsidP="003345C9">
            <w:pPr>
              <w:pStyle w:val="TableParagraph"/>
              <w:ind w:left="115" w:right="652"/>
              <w:rPr>
                <w:rFonts w:ascii="Times New Roman"/>
                <w:sz w:val="20"/>
                <w:lang w:val="en-GB"/>
              </w:rPr>
            </w:pPr>
            <w:r>
              <w:rPr>
                <w:rFonts w:ascii="Times New Roman"/>
                <w:sz w:val="20"/>
                <w:lang w:val="en-GB"/>
              </w:rPr>
              <w:t xml:space="preserve">1. Report No. </w:t>
            </w:r>
          </w:p>
          <w:p w14:paraId="71D2415A" w14:textId="77777777" w:rsidR="003345C9" w:rsidRDefault="003345C9" w:rsidP="003345C9">
            <w:pPr>
              <w:pStyle w:val="TableParagraph"/>
              <w:ind w:left="115" w:right="652"/>
              <w:rPr>
                <w:rFonts w:ascii="Times New Roman" w:eastAsia="Times New Roman" w:hAnsi="Times New Roman" w:cs="Times New Roman"/>
                <w:sz w:val="20"/>
                <w:szCs w:val="20"/>
                <w:lang w:val="en-GB"/>
              </w:rPr>
            </w:pPr>
            <w:r>
              <w:rPr>
                <w:rFonts w:ascii="Times New Roman" w:eastAsia="Times New Roman" w:hAnsi="Times New Roman" w:cs="Times New Roman"/>
                <w:sz w:val="20"/>
                <w:szCs w:val="20"/>
                <w:lang w:val="en-GB"/>
              </w:rPr>
              <w:t>CR 16-01</w:t>
            </w:r>
          </w:p>
        </w:tc>
        <w:tc>
          <w:tcPr>
            <w:tcW w:w="2790" w:type="dxa"/>
            <w:gridSpan w:val="3"/>
            <w:tcBorders>
              <w:top w:val="single" w:sz="4" w:space="0" w:color="000000"/>
              <w:left w:val="single" w:sz="4" w:space="0" w:color="000000"/>
              <w:bottom w:val="single" w:sz="4" w:space="0" w:color="000000"/>
              <w:right w:val="single" w:sz="4" w:space="0" w:color="000000"/>
            </w:tcBorders>
            <w:hideMark/>
          </w:tcPr>
          <w:p w14:paraId="2A220226"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2. Government Accession No.</w:t>
            </w: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75B9275F"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eastAsia="Times New Roman" w:hAnsi="Times New Roman" w:cs="Times New Roman"/>
                <w:sz w:val="20"/>
                <w:szCs w:val="20"/>
                <w:lang w:val="en-GB"/>
              </w:rPr>
              <w:t>3. Recipient’s Catalog No.</w:t>
            </w:r>
          </w:p>
        </w:tc>
      </w:tr>
      <w:tr w:rsidR="00BD0B73" w14:paraId="2EBC55B3" w14:textId="77777777" w:rsidTr="00BD0B73">
        <w:trPr>
          <w:trHeight w:val="20"/>
        </w:trPr>
        <w:tc>
          <w:tcPr>
            <w:tcW w:w="5290" w:type="dxa"/>
            <w:gridSpan w:val="4"/>
            <w:vMerge w:val="restart"/>
            <w:tcBorders>
              <w:top w:val="single" w:sz="4" w:space="0" w:color="000000"/>
              <w:left w:val="single" w:sz="4" w:space="0" w:color="000000"/>
              <w:bottom w:val="single" w:sz="4" w:space="0" w:color="000000"/>
              <w:right w:val="single" w:sz="4" w:space="0" w:color="000000"/>
            </w:tcBorders>
            <w:hideMark/>
          </w:tcPr>
          <w:p w14:paraId="34B2F0BF"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4. Title and Subtitle</w:t>
            </w:r>
          </w:p>
          <w:p w14:paraId="4FCAADA5" w14:textId="77777777" w:rsidR="00BD0B73" w:rsidRDefault="003345C9" w:rsidP="00BD0B73">
            <w:pPr>
              <w:pStyle w:val="TableParagraph"/>
              <w:ind w:left="115"/>
              <w:rPr>
                <w:rFonts w:ascii="Times New Roman" w:eastAsia="Times New Roman" w:hAnsi="Times New Roman" w:cs="Times New Roman"/>
                <w:sz w:val="20"/>
                <w:szCs w:val="20"/>
                <w:lang w:val="en-GB"/>
              </w:rPr>
            </w:pPr>
            <w:r w:rsidRPr="003345C9">
              <w:rPr>
                <w:rFonts w:ascii="Times New Roman" w:eastAsia="Times New Roman" w:hAnsi="Times New Roman" w:cs="Times New Roman"/>
                <w:sz w:val="20"/>
                <w:szCs w:val="20"/>
                <w:lang w:val="en-GB"/>
              </w:rPr>
              <w:t>Utilization of AVL/GPS Technology Case Study: Wisconsin Department of Transportation</w:t>
            </w:r>
          </w:p>
        </w:tc>
        <w:tc>
          <w:tcPr>
            <w:tcW w:w="4250" w:type="dxa"/>
            <w:gridSpan w:val="3"/>
            <w:tcBorders>
              <w:top w:val="single" w:sz="4" w:space="0" w:color="000000"/>
              <w:left w:val="single" w:sz="4" w:space="0" w:color="000000"/>
              <w:bottom w:val="single" w:sz="4" w:space="0" w:color="000000"/>
              <w:right w:val="single" w:sz="4" w:space="0" w:color="000000"/>
            </w:tcBorders>
          </w:tcPr>
          <w:p w14:paraId="2D74801D"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5. Report Date</w:t>
            </w:r>
          </w:p>
          <w:p w14:paraId="6963A4F6" w14:textId="04AC3A85" w:rsidR="00BD0B73" w:rsidRDefault="00CD4D63" w:rsidP="00BD0B73">
            <w:pPr>
              <w:pStyle w:val="TableParagraph"/>
              <w:ind w:left="115"/>
              <w:rPr>
                <w:rFonts w:ascii="Times New Roman" w:eastAsia="Times New Roman" w:hAnsi="Times New Roman" w:cs="Times New Roman"/>
                <w:sz w:val="20"/>
                <w:szCs w:val="20"/>
                <w:lang w:val="en-GB"/>
              </w:rPr>
            </w:pPr>
            <w:r>
              <w:rPr>
                <w:rFonts w:ascii="Times New Roman" w:eastAsia="Times New Roman" w:hAnsi="Times New Roman" w:cs="Times New Roman"/>
                <w:sz w:val="20"/>
                <w:szCs w:val="20"/>
                <w:lang w:val="en-GB"/>
              </w:rPr>
              <w:t>May 15, 2018</w:t>
            </w:r>
          </w:p>
        </w:tc>
      </w:tr>
      <w:tr w:rsidR="00BD0B73" w14:paraId="2365CFA1" w14:textId="77777777" w:rsidTr="00BD0B73">
        <w:trPr>
          <w:trHeight w:val="20"/>
        </w:trPr>
        <w:tc>
          <w:tcPr>
            <w:tcW w:w="20610" w:type="dxa"/>
            <w:gridSpan w:val="4"/>
            <w:vMerge/>
            <w:tcBorders>
              <w:top w:val="single" w:sz="4" w:space="0" w:color="000000"/>
              <w:left w:val="single" w:sz="4" w:space="0" w:color="000000"/>
              <w:bottom w:val="single" w:sz="4" w:space="0" w:color="000000"/>
              <w:right w:val="single" w:sz="4" w:space="0" w:color="000000"/>
            </w:tcBorders>
            <w:vAlign w:val="center"/>
            <w:hideMark/>
          </w:tcPr>
          <w:p w14:paraId="0A306FD3" w14:textId="77777777" w:rsidR="00BD0B73" w:rsidRDefault="00BD0B73" w:rsidP="00BD0B73">
            <w:pPr>
              <w:tabs>
                <w:tab w:val="clear" w:pos="284"/>
              </w:tabs>
              <w:spacing w:line="240" w:lineRule="auto"/>
              <w:rPr>
                <w:rFonts w:ascii="Times New Roman" w:eastAsia="Times New Roman" w:hAnsi="Times New Roman" w:cs="Times New Roman"/>
                <w:kern w:val="0"/>
                <w:szCs w:val="20"/>
                <w:lang w:val="en-GB"/>
              </w:rPr>
            </w:pP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7F3EA32D" w14:textId="77777777" w:rsidR="00BD0B73" w:rsidRDefault="00BD0B73" w:rsidP="00BD0B73">
            <w:pPr>
              <w:pStyle w:val="TableParagraph"/>
              <w:ind w:left="115"/>
              <w:rPr>
                <w:rFonts w:ascii="Times New Roman"/>
                <w:sz w:val="20"/>
                <w:lang w:val="en-GB"/>
              </w:rPr>
            </w:pPr>
            <w:r>
              <w:rPr>
                <w:rFonts w:ascii="Times New Roman"/>
                <w:sz w:val="20"/>
                <w:lang w:val="en-GB"/>
              </w:rPr>
              <w:t>6. Performing Organization Code:</w:t>
            </w:r>
          </w:p>
          <w:p w14:paraId="2106F806"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eastAsia="Times New Roman" w:hAnsi="Times New Roman" w:cs="Times New Roman"/>
                <w:sz w:val="20"/>
                <w:szCs w:val="20"/>
                <w:lang w:val="en-GB"/>
              </w:rPr>
              <w:t xml:space="preserve"> </w:t>
            </w:r>
          </w:p>
        </w:tc>
      </w:tr>
      <w:tr w:rsidR="00BD0B73" w14:paraId="15257475" w14:textId="77777777" w:rsidTr="00BD0B73">
        <w:trPr>
          <w:trHeight w:val="20"/>
        </w:trPr>
        <w:tc>
          <w:tcPr>
            <w:tcW w:w="5290" w:type="dxa"/>
            <w:gridSpan w:val="4"/>
            <w:tcBorders>
              <w:top w:val="single" w:sz="4" w:space="0" w:color="000000"/>
              <w:left w:val="single" w:sz="4" w:space="0" w:color="000000"/>
              <w:bottom w:val="single" w:sz="4" w:space="0" w:color="000000"/>
              <w:right w:val="single" w:sz="4" w:space="0" w:color="000000"/>
            </w:tcBorders>
            <w:hideMark/>
          </w:tcPr>
          <w:p w14:paraId="13DB17FA"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7. Author(s)</w:t>
            </w:r>
          </w:p>
          <w:p w14:paraId="5733860B" w14:textId="77777777" w:rsidR="00BD0B73" w:rsidRDefault="00BD0B73" w:rsidP="00BD0B73">
            <w:pPr>
              <w:pStyle w:val="TableParagraph"/>
              <w:ind w:left="115" w:right="90"/>
              <w:rPr>
                <w:rFonts w:ascii="Times New Roman" w:eastAsia="Times New Roman" w:hAnsi="Times New Roman" w:cs="Times New Roman"/>
                <w:sz w:val="20"/>
                <w:szCs w:val="20"/>
                <w:lang w:val="en-GB"/>
              </w:rPr>
            </w:pPr>
            <w:r>
              <w:rPr>
                <w:rFonts w:ascii="Times New Roman" w:eastAsia="Times New Roman" w:hAnsi="Times New Roman" w:cs="Times New Roman"/>
                <w:sz w:val="20"/>
                <w:szCs w:val="20"/>
                <w:lang w:val="en-GB"/>
              </w:rPr>
              <w:t>Ming-Shiun Lee, Dan Nelson</w:t>
            </w: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6EAA44FC"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8. Performing Organization Report No.</w:t>
            </w:r>
          </w:p>
        </w:tc>
      </w:tr>
      <w:tr w:rsidR="00BD0B73" w14:paraId="055CF61C" w14:textId="77777777" w:rsidTr="00BD0B73">
        <w:trPr>
          <w:trHeight w:val="20"/>
        </w:trPr>
        <w:tc>
          <w:tcPr>
            <w:tcW w:w="5290" w:type="dxa"/>
            <w:gridSpan w:val="4"/>
            <w:vMerge w:val="restart"/>
            <w:tcBorders>
              <w:top w:val="single" w:sz="4" w:space="0" w:color="000000"/>
              <w:left w:val="single" w:sz="4" w:space="0" w:color="000000"/>
              <w:bottom w:val="single" w:sz="4" w:space="0" w:color="000000"/>
              <w:right w:val="single" w:sz="4" w:space="0" w:color="000000"/>
            </w:tcBorders>
            <w:hideMark/>
          </w:tcPr>
          <w:p w14:paraId="58F15830" w14:textId="77777777" w:rsidR="00BD0B73" w:rsidRDefault="00BD0B73" w:rsidP="00BD0B73">
            <w:pPr>
              <w:pStyle w:val="TableParagraph"/>
              <w:ind w:left="115" w:right="540"/>
              <w:rPr>
                <w:rFonts w:ascii="Times New Roman"/>
                <w:sz w:val="20"/>
                <w:lang w:val="en-GB"/>
              </w:rPr>
            </w:pPr>
            <w:r>
              <w:rPr>
                <w:rFonts w:ascii="Times New Roman"/>
                <w:sz w:val="20"/>
                <w:lang w:val="en-GB"/>
              </w:rPr>
              <w:t xml:space="preserve">9. Performing Organization Name and Address </w:t>
            </w:r>
          </w:p>
          <w:p w14:paraId="3DD0FF4E" w14:textId="77777777" w:rsidR="00BD0B73" w:rsidRDefault="00BD0B73" w:rsidP="00BD0B73">
            <w:pPr>
              <w:pStyle w:val="TableParagraph"/>
              <w:ind w:left="115" w:right="540"/>
              <w:rPr>
                <w:rFonts w:ascii="Times New Roman"/>
                <w:sz w:val="20"/>
                <w:lang w:val="en-GB"/>
              </w:rPr>
            </w:pPr>
            <w:r>
              <w:rPr>
                <w:rFonts w:ascii="Times New Roman"/>
                <w:sz w:val="20"/>
                <w:lang w:val="en-GB"/>
              </w:rPr>
              <w:t>AECOM</w:t>
            </w:r>
          </w:p>
          <w:p w14:paraId="15DF3352" w14:textId="77777777" w:rsidR="00BD0B73" w:rsidRDefault="00BD0B73" w:rsidP="00BD0B73">
            <w:pPr>
              <w:pStyle w:val="TableParagraph"/>
              <w:ind w:left="115" w:right="540"/>
              <w:rPr>
                <w:rFonts w:ascii="Times New Roman"/>
                <w:sz w:val="20"/>
                <w:lang w:val="en-GB"/>
              </w:rPr>
            </w:pPr>
            <w:r>
              <w:rPr>
                <w:rFonts w:ascii="Times New Roman"/>
                <w:sz w:val="20"/>
                <w:lang w:val="en-GB"/>
              </w:rPr>
              <w:t>800 LaSalle Avenue, Suite 500</w:t>
            </w:r>
          </w:p>
          <w:p w14:paraId="2EC09E6B" w14:textId="77777777" w:rsidR="00BD0B73" w:rsidRDefault="00BD0B73" w:rsidP="00BD0B73">
            <w:pPr>
              <w:pStyle w:val="TableParagraph"/>
              <w:ind w:left="115" w:right="540"/>
              <w:rPr>
                <w:rFonts w:ascii="Times New Roman"/>
                <w:sz w:val="20"/>
                <w:lang w:val="en-GB"/>
              </w:rPr>
            </w:pPr>
            <w:r>
              <w:rPr>
                <w:rFonts w:ascii="Times New Roman"/>
                <w:sz w:val="20"/>
                <w:lang w:val="en-GB"/>
              </w:rPr>
              <w:t>Minneapolis, MN 55402</w:t>
            </w: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2E8A293E"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10. Work Unit No.</w:t>
            </w:r>
          </w:p>
        </w:tc>
      </w:tr>
      <w:tr w:rsidR="00BD0B73" w14:paraId="64598E4E" w14:textId="77777777" w:rsidTr="00BD0B73">
        <w:trPr>
          <w:trHeight w:val="20"/>
        </w:trPr>
        <w:tc>
          <w:tcPr>
            <w:tcW w:w="20610" w:type="dxa"/>
            <w:gridSpan w:val="4"/>
            <w:vMerge/>
            <w:tcBorders>
              <w:top w:val="single" w:sz="4" w:space="0" w:color="000000"/>
              <w:left w:val="single" w:sz="4" w:space="0" w:color="000000"/>
              <w:bottom w:val="single" w:sz="4" w:space="0" w:color="000000"/>
              <w:right w:val="single" w:sz="4" w:space="0" w:color="000000"/>
            </w:tcBorders>
            <w:vAlign w:val="center"/>
            <w:hideMark/>
          </w:tcPr>
          <w:p w14:paraId="5A5A47B1" w14:textId="77777777" w:rsidR="00BD0B73" w:rsidRDefault="00BD0B73" w:rsidP="00BD0B73">
            <w:pPr>
              <w:tabs>
                <w:tab w:val="clear" w:pos="284"/>
              </w:tabs>
              <w:spacing w:line="240" w:lineRule="auto"/>
              <w:rPr>
                <w:rFonts w:ascii="Times New Roman"/>
                <w:kern w:val="0"/>
                <w:szCs w:val="22"/>
                <w:lang w:val="en-GB"/>
              </w:rPr>
            </w:pP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547D41FE"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11. Contract or Grant No.</w:t>
            </w:r>
          </w:p>
        </w:tc>
      </w:tr>
      <w:tr w:rsidR="00BD0B73" w14:paraId="617A3379" w14:textId="77777777" w:rsidTr="00BD0B73">
        <w:trPr>
          <w:trHeight w:val="20"/>
        </w:trPr>
        <w:tc>
          <w:tcPr>
            <w:tcW w:w="5290" w:type="dxa"/>
            <w:gridSpan w:val="4"/>
            <w:vMerge w:val="restart"/>
            <w:tcBorders>
              <w:top w:val="single" w:sz="4" w:space="0" w:color="000000"/>
              <w:left w:val="single" w:sz="4" w:space="0" w:color="000000"/>
              <w:bottom w:val="single" w:sz="4" w:space="0" w:color="000000"/>
              <w:right w:val="single" w:sz="4" w:space="0" w:color="000000"/>
            </w:tcBorders>
            <w:hideMark/>
          </w:tcPr>
          <w:p w14:paraId="5AB528CA" w14:textId="77777777" w:rsidR="00BD0B73" w:rsidRDefault="00BD0B73" w:rsidP="00BD0B73">
            <w:pPr>
              <w:pStyle w:val="TableParagraph"/>
              <w:ind w:left="115" w:right="360"/>
              <w:rPr>
                <w:rFonts w:ascii="Times New Roman"/>
                <w:sz w:val="20"/>
                <w:lang w:val="en-GB"/>
              </w:rPr>
            </w:pPr>
            <w:r>
              <w:rPr>
                <w:rFonts w:ascii="Times New Roman"/>
                <w:sz w:val="20"/>
                <w:lang w:val="en-GB"/>
              </w:rPr>
              <w:t xml:space="preserve">12. Sponsoring Agency Name and Address </w:t>
            </w:r>
          </w:p>
          <w:p w14:paraId="72EAC125" w14:textId="77777777" w:rsidR="00316A12" w:rsidRDefault="00316A12" w:rsidP="00316A12">
            <w:pPr>
              <w:pStyle w:val="TableParagraph"/>
              <w:ind w:left="115" w:right="360"/>
              <w:rPr>
                <w:rFonts w:ascii="Times New Roman"/>
                <w:sz w:val="20"/>
              </w:rPr>
            </w:pPr>
            <w:r>
              <w:rPr>
                <w:rFonts w:ascii="Times New Roman"/>
                <w:sz w:val="20"/>
              </w:rPr>
              <w:t>Clear Roads Pooled Fund Study</w:t>
            </w:r>
          </w:p>
          <w:p w14:paraId="33009AA2" w14:textId="77777777" w:rsidR="00316A12" w:rsidRDefault="00316A12" w:rsidP="00316A12">
            <w:pPr>
              <w:pStyle w:val="TableParagraph"/>
              <w:ind w:left="115" w:right="360"/>
              <w:rPr>
                <w:rFonts w:ascii="Times New Roman"/>
                <w:sz w:val="20"/>
              </w:rPr>
            </w:pPr>
            <w:r>
              <w:rPr>
                <w:rFonts w:ascii="Times New Roman"/>
                <w:sz w:val="20"/>
              </w:rPr>
              <w:t>Lead State: Minnesota Department of Transportation</w:t>
            </w:r>
          </w:p>
          <w:p w14:paraId="39390BCC" w14:textId="77777777" w:rsidR="00316A12" w:rsidRDefault="00316A12" w:rsidP="00316A12">
            <w:pPr>
              <w:pStyle w:val="TableParagraph"/>
              <w:ind w:left="115" w:right="360"/>
              <w:rPr>
                <w:rFonts w:ascii="Times New Roman"/>
                <w:sz w:val="20"/>
              </w:rPr>
            </w:pPr>
            <w:r>
              <w:rPr>
                <w:rFonts w:ascii="Times New Roman"/>
                <w:sz w:val="20"/>
              </w:rPr>
              <w:t>Research Services Section</w:t>
            </w:r>
          </w:p>
          <w:p w14:paraId="5C866DDF" w14:textId="77777777" w:rsidR="00316A12" w:rsidRDefault="00316A12" w:rsidP="00316A12">
            <w:pPr>
              <w:pStyle w:val="TableParagraph"/>
              <w:ind w:left="115" w:right="360"/>
              <w:rPr>
                <w:rFonts w:ascii="Times New Roman"/>
                <w:sz w:val="20"/>
              </w:rPr>
            </w:pPr>
            <w:r>
              <w:rPr>
                <w:rFonts w:ascii="Times New Roman"/>
                <w:sz w:val="20"/>
              </w:rPr>
              <w:t>395 John Ireland Boulevard, MS 330</w:t>
            </w:r>
          </w:p>
          <w:p w14:paraId="2C31D8E8" w14:textId="77777777" w:rsidR="00316A12" w:rsidRDefault="00316A12" w:rsidP="00316A12">
            <w:pPr>
              <w:pStyle w:val="TableParagraph"/>
              <w:ind w:left="115"/>
              <w:rPr>
                <w:rFonts w:ascii="Times New Roman"/>
                <w:sz w:val="20"/>
              </w:rPr>
            </w:pPr>
            <w:r>
              <w:rPr>
                <w:rFonts w:ascii="Times New Roman"/>
                <w:sz w:val="20"/>
              </w:rPr>
              <w:t>St. Paul, MN 55155</w:t>
            </w:r>
          </w:p>
          <w:p w14:paraId="0F5B0E68" w14:textId="77777777" w:rsidR="00BD0B73" w:rsidRDefault="00BD0B73" w:rsidP="00BD0B73">
            <w:pPr>
              <w:pStyle w:val="TableParagraph"/>
              <w:ind w:left="115"/>
              <w:rPr>
                <w:rFonts w:ascii="Times New Roman" w:eastAsia="Times New Roman" w:hAnsi="Times New Roman" w:cs="Times New Roman"/>
                <w:sz w:val="20"/>
                <w:szCs w:val="20"/>
                <w:lang w:val="en-GB"/>
              </w:rPr>
            </w:pP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33446241" w14:textId="77777777" w:rsidR="00BD0B73" w:rsidRDefault="00BD0B73" w:rsidP="00BD0B73">
            <w:pPr>
              <w:pStyle w:val="TableParagraph"/>
              <w:ind w:left="115" w:right="988"/>
              <w:rPr>
                <w:rFonts w:ascii="Times New Roman" w:eastAsia="Times New Roman" w:hAnsi="Times New Roman" w:cs="Times New Roman"/>
                <w:sz w:val="20"/>
                <w:szCs w:val="20"/>
                <w:lang w:val="en-GB"/>
              </w:rPr>
            </w:pPr>
            <w:r>
              <w:rPr>
                <w:rFonts w:ascii="Times New Roman"/>
                <w:sz w:val="20"/>
                <w:lang w:val="en-GB"/>
              </w:rPr>
              <w:t xml:space="preserve">13. Type of Report and Period </w:t>
            </w:r>
          </w:p>
        </w:tc>
      </w:tr>
      <w:tr w:rsidR="00BD0B73" w14:paraId="3FDB4857" w14:textId="77777777" w:rsidTr="00BD0B73">
        <w:trPr>
          <w:trHeight w:val="20"/>
        </w:trPr>
        <w:tc>
          <w:tcPr>
            <w:tcW w:w="20610" w:type="dxa"/>
            <w:gridSpan w:val="4"/>
            <w:vMerge/>
            <w:tcBorders>
              <w:top w:val="single" w:sz="4" w:space="0" w:color="000000"/>
              <w:left w:val="single" w:sz="4" w:space="0" w:color="000000"/>
              <w:bottom w:val="single" w:sz="4" w:space="0" w:color="000000"/>
              <w:right w:val="single" w:sz="4" w:space="0" w:color="000000"/>
            </w:tcBorders>
            <w:vAlign w:val="center"/>
            <w:hideMark/>
          </w:tcPr>
          <w:p w14:paraId="28159D53" w14:textId="77777777" w:rsidR="00BD0B73" w:rsidRDefault="00BD0B73" w:rsidP="00BD0B73">
            <w:pPr>
              <w:tabs>
                <w:tab w:val="clear" w:pos="284"/>
              </w:tabs>
              <w:spacing w:line="240" w:lineRule="auto"/>
              <w:rPr>
                <w:rFonts w:ascii="Times New Roman" w:eastAsia="Times New Roman" w:hAnsi="Times New Roman" w:cs="Times New Roman"/>
                <w:kern w:val="0"/>
                <w:szCs w:val="20"/>
                <w:lang w:val="en-GB"/>
              </w:rPr>
            </w:pPr>
          </w:p>
        </w:tc>
        <w:tc>
          <w:tcPr>
            <w:tcW w:w="4250" w:type="dxa"/>
            <w:gridSpan w:val="3"/>
            <w:tcBorders>
              <w:top w:val="single" w:sz="4" w:space="0" w:color="000000"/>
              <w:left w:val="single" w:sz="4" w:space="0" w:color="000000"/>
              <w:bottom w:val="single" w:sz="4" w:space="0" w:color="000000"/>
              <w:right w:val="single" w:sz="4" w:space="0" w:color="000000"/>
            </w:tcBorders>
            <w:hideMark/>
          </w:tcPr>
          <w:p w14:paraId="60413000" w14:textId="77777777" w:rsidR="00BD0B73" w:rsidRDefault="00BD0B73" w:rsidP="00BD0B73">
            <w:pPr>
              <w:pStyle w:val="TableParagraph"/>
              <w:ind w:left="115" w:right="1792"/>
              <w:rPr>
                <w:rFonts w:ascii="Times New Roman" w:eastAsia="Times New Roman" w:hAnsi="Times New Roman" w:cs="Times New Roman"/>
                <w:sz w:val="20"/>
                <w:szCs w:val="20"/>
                <w:lang w:val="en-GB"/>
              </w:rPr>
            </w:pPr>
            <w:r>
              <w:rPr>
                <w:rFonts w:ascii="Times New Roman"/>
                <w:sz w:val="20"/>
                <w:lang w:val="en-GB"/>
              </w:rPr>
              <w:t xml:space="preserve">14. Sponsoring Agency Code </w:t>
            </w:r>
          </w:p>
        </w:tc>
      </w:tr>
      <w:tr w:rsidR="00BD0B73" w14:paraId="156460BF" w14:textId="77777777" w:rsidTr="00BD0B73">
        <w:trPr>
          <w:trHeight w:val="20"/>
        </w:trPr>
        <w:tc>
          <w:tcPr>
            <w:tcW w:w="9540" w:type="dxa"/>
            <w:gridSpan w:val="7"/>
            <w:tcBorders>
              <w:top w:val="single" w:sz="4" w:space="0" w:color="000000"/>
              <w:left w:val="single" w:sz="4" w:space="0" w:color="000000"/>
              <w:bottom w:val="single" w:sz="4" w:space="0" w:color="000000"/>
              <w:right w:val="single" w:sz="4" w:space="0" w:color="000000"/>
            </w:tcBorders>
          </w:tcPr>
          <w:p w14:paraId="5A73115D" w14:textId="77777777" w:rsidR="00BD0B73" w:rsidRDefault="00BD0B73" w:rsidP="00BD0B73">
            <w:pPr>
              <w:pStyle w:val="TableParagraph"/>
              <w:ind w:left="115"/>
              <w:rPr>
                <w:rFonts w:ascii="Times New Roman"/>
                <w:sz w:val="20"/>
                <w:lang w:val="en-GB"/>
              </w:rPr>
            </w:pPr>
            <w:r>
              <w:rPr>
                <w:rFonts w:ascii="Times New Roman"/>
                <w:sz w:val="20"/>
                <w:lang w:val="en-GB"/>
              </w:rPr>
              <w:t>15. Supplementary Notes</w:t>
            </w:r>
          </w:p>
          <w:p w14:paraId="0B6DFBDF" w14:textId="77777777" w:rsidR="00BD0B73" w:rsidRDefault="00BD0B73" w:rsidP="00BD0B73">
            <w:pPr>
              <w:pStyle w:val="TableParagraph"/>
              <w:ind w:left="115"/>
              <w:rPr>
                <w:rFonts w:ascii="Times New Roman" w:eastAsia="Times New Roman" w:hAnsi="Times New Roman" w:cs="Times New Roman"/>
                <w:sz w:val="20"/>
                <w:szCs w:val="20"/>
                <w:lang w:val="en-GB"/>
              </w:rPr>
            </w:pPr>
          </w:p>
        </w:tc>
      </w:tr>
      <w:tr w:rsidR="00BD0B73" w14:paraId="0113E90B" w14:textId="77777777" w:rsidTr="00BD0B73">
        <w:trPr>
          <w:trHeight w:val="20"/>
        </w:trPr>
        <w:tc>
          <w:tcPr>
            <w:tcW w:w="9540" w:type="dxa"/>
            <w:gridSpan w:val="7"/>
            <w:tcBorders>
              <w:top w:val="single" w:sz="4" w:space="0" w:color="000000"/>
              <w:left w:val="single" w:sz="4" w:space="0" w:color="000000"/>
              <w:bottom w:val="single" w:sz="4" w:space="0" w:color="000000"/>
              <w:right w:val="single" w:sz="4" w:space="0" w:color="000000"/>
            </w:tcBorders>
          </w:tcPr>
          <w:p w14:paraId="46E044D8" w14:textId="77777777" w:rsidR="00BD0B73" w:rsidRDefault="00BD0B73" w:rsidP="00BD0B73">
            <w:pPr>
              <w:pStyle w:val="TableParagraph"/>
              <w:ind w:left="85"/>
              <w:rPr>
                <w:rFonts w:ascii="Times New Roman" w:eastAsia="Times New Roman" w:hAnsi="Times New Roman" w:cs="Times New Roman"/>
                <w:sz w:val="20"/>
                <w:szCs w:val="20"/>
                <w:lang w:val="en-GB"/>
              </w:rPr>
            </w:pPr>
            <w:r>
              <w:rPr>
                <w:rFonts w:ascii="Times New Roman"/>
                <w:sz w:val="20"/>
                <w:lang w:val="en-GB"/>
              </w:rPr>
              <w:t>16. Abstract</w:t>
            </w:r>
          </w:p>
          <w:p w14:paraId="24BDFAEC"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274FEB28" w14:textId="77777777" w:rsidR="00693C06" w:rsidRPr="0002619B" w:rsidRDefault="00693C06" w:rsidP="00693C06">
            <w:pPr>
              <w:pStyle w:val="TableParagraph"/>
              <w:ind w:left="115" w:right="223"/>
              <w:rPr>
                <w:rFonts w:ascii="Times New Roman" w:eastAsia="Times New Roman" w:hAnsi="Times New Roman" w:cs="Times New Roman"/>
                <w:sz w:val="20"/>
                <w:szCs w:val="20"/>
              </w:rPr>
            </w:pPr>
            <w:r w:rsidRPr="0002619B">
              <w:rPr>
                <w:rFonts w:ascii="Times New Roman" w:eastAsia="Times New Roman" w:hAnsi="Times New Roman" w:cs="Times New Roman"/>
                <w:sz w:val="20"/>
                <w:szCs w:val="20"/>
              </w:rPr>
              <w:t>Winter road maintenance accounts for roughly 20 percent of state DOT maintenance budgets. State and local agencies spend over $2.3 billion on winter operations annually. As such, effective winter maintenance operations incorporating smart uses of methods, techniques, technologies, equipment and materials becomes essential. Among various winter maintenance technologies, automated vehicle location (AVL) and global positioning systems (GPS) have been widely used by transportation agencies to monitor vehicle locations and equipment operational status for winter road maintenance operations.</w:t>
            </w:r>
          </w:p>
          <w:p w14:paraId="3FFD1295" w14:textId="77777777" w:rsidR="00693C06" w:rsidRPr="0002619B" w:rsidRDefault="00693C06" w:rsidP="00693C06">
            <w:pPr>
              <w:pStyle w:val="TableParagraph"/>
              <w:ind w:left="115" w:right="223"/>
              <w:rPr>
                <w:rFonts w:ascii="Times New Roman" w:eastAsia="Times New Roman" w:hAnsi="Times New Roman" w:cs="Times New Roman"/>
                <w:sz w:val="20"/>
                <w:szCs w:val="20"/>
              </w:rPr>
            </w:pPr>
          </w:p>
          <w:p w14:paraId="6ABEA8AE" w14:textId="118D2FE1" w:rsidR="00693C06" w:rsidRDefault="00693C06" w:rsidP="00693C06">
            <w:pPr>
              <w:pStyle w:val="TableParagraph"/>
              <w:ind w:left="115" w:right="223"/>
              <w:rPr>
                <w:rFonts w:ascii="Times New Roman" w:eastAsia="Times New Roman" w:hAnsi="Times New Roman" w:cs="Times New Roman"/>
                <w:sz w:val="20"/>
                <w:szCs w:val="20"/>
              </w:rPr>
            </w:pPr>
            <w:r w:rsidRPr="0002619B">
              <w:rPr>
                <w:rFonts w:ascii="Times New Roman" w:eastAsia="Times New Roman" w:hAnsi="Times New Roman" w:cs="Times New Roman"/>
                <w:sz w:val="20"/>
                <w:szCs w:val="20"/>
              </w:rPr>
              <w:t xml:space="preserve">This document is one of the six case studies conducted for the Clear Roads project entitled </w:t>
            </w:r>
            <w:r w:rsidR="00754484" w:rsidRPr="00521465">
              <w:rPr>
                <w:rFonts w:ascii="Times New Roman" w:eastAsia="Times New Roman" w:hAnsi="Times New Roman" w:cs="Times New Roman"/>
                <w:i/>
                <w:sz w:val="20"/>
                <w:szCs w:val="20"/>
              </w:rPr>
              <w:t>Utilization of AVL/GPS</w:t>
            </w:r>
            <w:r w:rsidR="00754484">
              <w:rPr>
                <w:rFonts w:ascii="Times New Roman" w:eastAsia="Times New Roman" w:hAnsi="Times New Roman" w:cs="Times New Roman"/>
                <w:i/>
                <w:sz w:val="20"/>
                <w:szCs w:val="20"/>
              </w:rPr>
              <w:t xml:space="preserve"> Technology</w:t>
            </w:r>
            <w:r w:rsidR="00754484" w:rsidRPr="00521465">
              <w:rPr>
                <w:rFonts w:ascii="Times New Roman" w:eastAsia="Times New Roman" w:hAnsi="Times New Roman" w:cs="Times New Roman"/>
                <w:i/>
                <w:sz w:val="20"/>
                <w:szCs w:val="20"/>
              </w:rPr>
              <w:t>: Case Studies</w:t>
            </w:r>
            <w:r w:rsidRPr="0002619B">
              <w:rPr>
                <w:rFonts w:ascii="Times New Roman" w:eastAsia="Times New Roman" w:hAnsi="Times New Roman" w:cs="Times New Roman"/>
                <w:sz w:val="20"/>
                <w:szCs w:val="20"/>
              </w:rPr>
              <w:t xml:space="preserve">.  This case study report summarizes </w:t>
            </w:r>
            <w:r>
              <w:rPr>
                <w:rFonts w:ascii="Times New Roman" w:eastAsia="Times New Roman" w:hAnsi="Times New Roman" w:cs="Times New Roman"/>
                <w:sz w:val="20"/>
                <w:szCs w:val="20"/>
              </w:rPr>
              <w:t>Wisconsin</w:t>
            </w:r>
            <w:r w:rsidRPr="0002619B">
              <w:rPr>
                <w:rFonts w:ascii="Times New Roman" w:eastAsia="Times New Roman" w:hAnsi="Times New Roman" w:cs="Times New Roman"/>
                <w:sz w:val="20"/>
                <w:szCs w:val="20"/>
              </w:rPr>
              <w:t xml:space="preserve"> Department of Transportation’s experiences and lessons learned in using AVL/GPS technologies for winter maintenance. The case study took a broad view, examining agencies’ decision-making processes; implementation steps; difficulties and lessons learned; and documented benefits and costs for different tiers of AVL/GPS implementation.</w:t>
            </w:r>
          </w:p>
          <w:p w14:paraId="2F5A1126" w14:textId="77777777" w:rsidR="00693C06" w:rsidRDefault="00693C06" w:rsidP="00693C06">
            <w:pPr>
              <w:pStyle w:val="TableParagraph"/>
              <w:ind w:left="115" w:right="223"/>
              <w:rPr>
                <w:rFonts w:ascii="Times New Roman" w:eastAsia="Times New Roman" w:hAnsi="Times New Roman" w:cs="Times New Roman"/>
                <w:sz w:val="20"/>
                <w:szCs w:val="20"/>
              </w:rPr>
            </w:pPr>
          </w:p>
          <w:p w14:paraId="2D50B4E6"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0C38AA15"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74E1A8E3"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101914B0"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2D3B601B"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59E2C02D"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6AF36C6A"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p w14:paraId="17931832" w14:textId="77777777" w:rsidR="00BD0B73" w:rsidRDefault="00BD0B73" w:rsidP="00BD0B73">
            <w:pPr>
              <w:pStyle w:val="TableParagraph"/>
              <w:ind w:left="115" w:right="223"/>
              <w:rPr>
                <w:rFonts w:ascii="Times New Roman" w:eastAsia="Times New Roman" w:hAnsi="Times New Roman" w:cs="Times New Roman"/>
                <w:sz w:val="20"/>
                <w:szCs w:val="20"/>
                <w:lang w:val="en-GB"/>
              </w:rPr>
            </w:pPr>
          </w:p>
        </w:tc>
      </w:tr>
      <w:tr w:rsidR="00BD0B73" w14:paraId="1BA31159" w14:textId="77777777" w:rsidTr="00BD0B73">
        <w:trPr>
          <w:trHeight w:val="20"/>
        </w:trPr>
        <w:tc>
          <w:tcPr>
            <w:tcW w:w="4410" w:type="dxa"/>
            <w:gridSpan w:val="3"/>
            <w:tcBorders>
              <w:top w:val="single" w:sz="4" w:space="0" w:color="000000"/>
              <w:left w:val="single" w:sz="4" w:space="0" w:color="000000"/>
              <w:bottom w:val="single" w:sz="4" w:space="0" w:color="000000"/>
              <w:right w:val="single" w:sz="4" w:space="0" w:color="000000"/>
            </w:tcBorders>
            <w:hideMark/>
          </w:tcPr>
          <w:p w14:paraId="73E00B48"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17. Key Words</w:t>
            </w:r>
          </w:p>
          <w:p w14:paraId="751DC383" w14:textId="77777777" w:rsidR="00BD0B73" w:rsidRDefault="00BD0B73" w:rsidP="00BD0B73">
            <w:pPr>
              <w:pStyle w:val="TableParagraph"/>
              <w:ind w:left="115" w:right="209"/>
              <w:rPr>
                <w:rFonts w:ascii="Times New Roman" w:eastAsia="Times New Roman" w:hAnsi="Times New Roman" w:cs="Times New Roman"/>
                <w:sz w:val="20"/>
                <w:szCs w:val="20"/>
                <w:lang w:val="en-GB"/>
              </w:rPr>
            </w:pPr>
            <w:r>
              <w:rPr>
                <w:rFonts w:ascii="Times New Roman" w:hAnsi="Times New Roman"/>
                <w:sz w:val="20"/>
                <w:lang w:val="en-GB"/>
              </w:rPr>
              <w:t>Automated Vehicle Location (AVL), Global Positioning Systems (GPS), Maintenance, Technology</w:t>
            </w:r>
          </w:p>
        </w:tc>
        <w:tc>
          <w:tcPr>
            <w:tcW w:w="5130" w:type="dxa"/>
            <w:gridSpan w:val="4"/>
            <w:tcBorders>
              <w:top w:val="single" w:sz="4" w:space="0" w:color="000000"/>
              <w:left w:val="single" w:sz="4" w:space="0" w:color="000000"/>
              <w:bottom w:val="single" w:sz="4" w:space="0" w:color="000000"/>
              <w:right w:val="single" w:sz="4" w:space="0" w:color="000000"/>
            </w:tcBorders>
            <w:hideMark/>
          </w:tcPr>
          <w:p w14:paraId="11E275CC"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18. Distribution Statement</w:t>
            </w:r>
          </w:p>
          <w:p w14:paraId="37CDDAAB" w14:textId="77777777" w:rsidR="00BD0B73" w:rsidRDefault="00BD0B73" w:rsidP="00BD0B73">
            <w:pPr>
              <w:pStyle w:val="TableParagraph"/>
              <w:ind w:left="115" w:right="530"/>
              <w:rPr>
                <w:rFonts w:ascii="Times New Roman"/>
                <w:sz w:val="20"/>
                <w:lang w:val="en-GB"/>
              </w:rPr>
            </w:pPr>
            <w:r>
              <w:rPr>
                <w:rFonts w:ascii="Times New Roman"/>
                <w:sz w:val="20"/>
                <w:lang w:val="en-GB"/>
              </w:rPr>
              <w:t>No restrictions. This document is available to the public through the National Technical Information Service, Springfield, VA 22161.</w:t>
            </w:r>
          </w:p>
          <w:p w14:paraId="6F4A9781" w14:textId="77777777" w:rsidR="00BD0B73" w:rsidRDefault="00BD0B73" w:rsidP="00BD0B73">
            <w:pPr>
              <w:pStyle w:val="TableParagraph"/>
              <w:ind w:left="115" w:right="530"/>
              <w:rPr>
                <w:rFonts w:ascii="Times New Roman" w:eastAsia="Times New Roman" w:hAnsi="Times New Roman" w:cs="Times New Roman"/>
                <w:sz w:val="20"/>
                <w:szCs w:val="20"/>
                <w:lang w:val="en-GB"/>
              </w:rPr>
            </w:pPr>
            <w:r>
              <w:rPr>
                <w:rFonts w:ascii="Times New Roman"/>
                <w:sz w:val="20"/>
                <w:lang w:val="en-GB"/>
              </w:rPr>
              <w:t>http://www.ntis.gov</w:t>
            </w:r>
          </w:p>
        </w:tc>
      </w:tr>
      <w:tr w:rsidR="00BD0B73" w14:paraId="23D5CD3A" w14:textId="77777777" w:rsidTr="00BD0B73">
        <w:trPr>
          <w:trHeight w:val="20"/>
        </w:trPr>
        <w:tc>
          <w:tcPr>
            <w:tcW w:w="3150" w:type="dxa"/>
            <w:gridSpan w:val="2"/>
            <w:tcBorders>
              <w:top w:val="single" w:sz="4" w:space="0" w:color="000000"/>
              <w:left w:val="single" w:sz="4" w:space="0" w:color="000000"/>
              <w:bottom w:val="single" w:sz="4" w:space="0" w:color="000000"/>
              <w:right w:val="single" w:sz="4" w:space="0" w:color="000000"/>
            </w:tcBorders>
            <w:hideMark/>
          </w:tcPr>
          <w:p w14:paraId="59DD42F2" w14:textId="77777777" w:rsidR="00BD0B73" w:rsidRDefault="00BD0B73" w:rsidP="00BD0B73">
            <w:pPr>
              <w:pStyle w:val="TableParagraph"/>
              <w:ind w:left="115" w:right="140"/>
              <w:rPr>
                <w:rFonts w:ascii="Times New Roman" w:eastAsia="Times New Roman" w:hAnsi="Times New Roman" w:cs="Times New Roman"/>
                <w:sz w:val="20"/>
                <w:szCs w:val="20"/>
                <w:lang w:val="en-GB"/>
              </w:rPr>
            </w:pPr>
            <w:r>
              <w:rPr>
                <w:rFonts w:ascii="Times New Roman"/>
                <w:sz w:val="20"/>
                <w:lang w:val="en-GB"/>
              </w:rPr>
              <w:t>19. Security Classif. (of this report) Unclassified</w:t>
            </w:r>
          </w:p>
        </w:tc>
        <w:tc>
          <w:tcPr>
            <w:tcW w:w="3150" w:type="dxa"/>
            <w:gridSpan w:val="3"/>
            <w:tcBorders>
              <w:top w:val="single" w:sz="4" w:space="0" w:color="000000"/>
              <w:left w:val="single" w:sz="4" w:space="0" w:color="000000"/>
              <w:bottom w:val="single" w:sz="4" w:space="0" w:color="000000"/>
              <w:right w:val="single" w:sz="4" w:space="0" w:color="000000"/>
            </w:tcBorders>
            <w:hideMark/>
          </w:tcPr>
          <w:p w14:paraId="185E1FEC" w14:textId="77777777" w:rsidR="00BD0B73" w:rsidRDefault="00BD0B73" w:rsidP="00BD0B73">
            <w:pPr>
              <w:pStyle w:val="TableParagraph"/>
              <w:ind w:left="115" w:right="289"/>
              <w:rPr>
                <w:rFonts w:ascii="Times New Roman" w:eastAsia="Times New Roman" w:hAnsi="Times New Roman" w:cs="Times New Roman"/>
                <w:sz w:val="20"/>
                <w:szCs w:val="20"/>
                <w:lang w:val="en-GB"/>
              </w:rPr>
            </w:pPr>
            <w:r>
              <w:rPr>
                <w:rFonts w:ascii="Times New Roman"/>
                <w:sz w:val="20"/>
                <w:lang w:val="en-GB"/>
              </w:rPr>
              <w:t>20. Security Classif. (of this page) Unclassified</w:t>
            </w:r>
          </w:p>
        </w:tc>
        <w:tc>
          <w:tcPr>
            <w:tcW w:w="1710" w:type="dxa"/>
            <w:tcBorders>
              <w:top w:val="single" w:sz="4" w:space="0" w:color="000000"/>
              <w:left w:val="single" w:sz="4" w:space="0" w:color="000000"/>
              <w:bottom w:val="single" w:sz="4" w:space="0" w:color="000000"/>
              <w:right w:val="single" w:sz="4" w:space="0" w:color="000000"/>
            </w:tcBorders>
          </w:tcPr>
          <w:p w14:paraId="6DFB6AB0" w14:textId="77777777" w:rsidR="00BD0B73" w:rsidRDefault="00BD0B73" w:rsidP="00BD0B73">
            <w:pPr>
              <w:pStyle w:val="TableParagraph"/>
              <w:ind w:left="115" w:right="205"/>
              <w:rPr>
                <w:rFonts w:ascii="Times New Roman"/>
                <w:sz w:val="20"/>
                <w:lang w:val="en-GB"/>
              </w:rPr>
            </w:pPr>
            <w:r>
              <w:rPr>
                <w:rFonts w:ascii="Times New Roman"/>
                <w:sz w:val="20"/>
                <w:lang w:val="en-GB"/>
              </w:rPr>
              <w:t>21. No. of Pages</w:t>
            </w:r>
          </w:p>
          <w:p w14:paraId="6138C67D" w14:textId="6B5C6F3C" w:rsidR="00BD0B73" w:rsidRDefault="0048753C" w:rsidP="00BD0B73">
            <w:pPr>
              <w:pStyle w:val="TableParagraph"/>
              <w:ind w:left="115" w:right="205"/>
              <w:jc w:val="center"/>
              <w:rPr>
                <w:rFonts w:ascii="Times New Roman" w:eastAsia="Times New Roman" w:hAnsi="Times New Roman" w:cs="Times New Roman"/>
                <w:sz w:val="20"/>
                <w:szCs w:val="20"/>
                <w:lang w:val="en-GB"/>
              </w:rPr>
            </w:pPr>
            <w:r>
              <w:rPr>
                <w:rFonts w:ascii="Times New Roman" w:eastAsia="Times New Roman" w:hAnsi="Times New Roman" w:cs="Times New Roman"/>
                <w:sz w:val="20"/>
                <w:szCs w:val="20"/>
                <w:lang w:val="en-GB"/>
              </w:rPr>
              <w:t>31</w:t>
            </w:r>
          </w:p>
        </w:tc>
        <w:tc>
          <w:tcPr>
            <w:tcW w:w="1530" w:type="dxa"/>
            <w:tcBorders>
              <w:top w:val="single" w:sz="4" w:space="0" w:color="000000"/>
              <w:left w:val="single" w:sz="4" w:space="0" w:color="000000"/>
              <w:bottom w:val="single" w:sz="4" w:space="0" w:color="000000"/>
              <w:right w:val="single" w:sz="4" w:space="0" w:color="000000"/>
            </w:tcBorders>
            <w:hideMark/>
          </w:tcPr>
          <w:p w14:paraId="5A23A09F" w14:textId="77777777" w:rsidR="00BD0B73" w:rsidRDefault="00BD0B73" w:rsidP="00BD0B73">
            <w:pPr>
              <w:pStyle w:val="TableParagraph"/>
              <w:ind w:left="115"/>
              <w:rPr>
                <w:rFonts w:ascii="Times New Roman" w:eastAsia="Times New Roman" w:hAnsi="Times New Roman" w:cs="Times New Roman"/>
                <w:sz w:val="20"/>
                <w:szCs w:val="20"/>
                <w:lang w:val="en-GB"/>
              </w:rPr>
            </w:pPr>
            <w:r>
              <w:rPr>
                <w:rFonts w:ascii="Times New Roman"/>
                <w:sz w:val="20"/>
                <w:lang w:val="en-GB"/>
              </w:rPr>
              <w:t>22. Price</w:t>
            </w:r>
          </w:p>
        </w:tc>
      </w:tr>
    </w:tbl>
    <w:p w14:paraId="5C2EFF43" w14:textId="77777777" w:rsidR="000D13AF" w:rsidRDefault="00BD0B73">
      <w:pPr>
        <w:tabs>
          <w:tab w:val="clear" w:pos="284"/>
        </w:tabs>
        <w:spacing w:line="240" w:lineRule="auto"/>
      </w:pPr>
      <w:r>
        <w:br w:type="page"/>
      </w:r>
    </w:p>
    <w:p w14:paraId="12039B56" w14:textId="77777777" w:rsidR="003964F2" w:rsidRDefault="003964F2" w:rsidP="003964F2">
      <w:pPr>
        <w:pStyle w:val="TOCHeading"/>
        <w:rPr>
          <w:noProof/>
        </w:rPr>
      </w:pPr>
      <w:bookmarkStart w:id="10" w:name="Text_Contents"/>
      <w:bookmarkStart w:id="11" w:name="TOC"/>
      <w:r>
        <w:rPr>
          <w:noProof/>
        </w:rPr>
        <w:lastRenderedPageBreak/>
        <w:t>Table of Contents</w:t>
      </w:r>
      <w:bookmarkEnd w:id="10"/>
    </w:p>
    <w:p w14:paraId="3018A4CA" w14:textId="71DBA2D2" w:rsidR="00EE073E" w:rsidRDefault="003964F2">
      <w:pPr>
        <w:pStyle w:val="TOC1"/>
        <w:rPr>
          <w:rFonts w:asciiTheme="minorHAnsi" w:eastAsiaTheme="minorEastAsia" w:hAnsiTheme="minorHAnsi"/>
          <w:noProof/>
          <w:kern w:val="0"/>
          <w:sz w:val="22"/>
          <w:szCs w:val="22"/>
        </w:rPr>
      </w:pPr>
      <w:r>
        <w:rPr>
          <w:noProof/>
        </w:rPr>
        <w:fldChar w:fldCharType="begin"/>
      </w:r>
      <w:r>
        <w:rPr>
          <w:noProof/>
        </w:rPr>
        <w:instrText xml:space="preserve"> TOC \o "1-4" \z \u </w:instrText>
      </w:r>
      <w:r>
        <w:rPr>
          <w:noProof/>
        </w:rPr>
        <w:fldChar w:fldCharType="separate"/>
      </w:r>
      <w:r w:rsidR="00EE073E">
        <w:rPr>
          <w:noProof/>
        </w:rPr>
        <w:t>1.</w:t>
      </w:r>
      <w:r w:rsidR="00EE073E">
        <w:rPr>
          <w:rFonts w:asciiTheme="minorHAnsi" w:eastAsiaTheme="minorEastAsia" w:hAnsiTheme="minorHAnsi"/>
          <w:noProof/>
          <w:kern w:val="0"/>
          <w:sz w:val="22"/>
          <w:szCs w:val="22"/>
        </w:rPr>
        <w:tab/>
      </w:r>
      <w:r w:rsidR="00EE073E">
        <w:rPr>
          <w:noProof/>
        </w:rPr>
        <w:t>Overview of Wisconsin DOT Winter Maintenance Operations</w:t>
      </w:r>
      <w:r w:rsidR="00EE073E">
        <w:rPr>
          <w:noProof/>
          <w:webHidden/>
        </w:rPr>
        <w:tab/>
      </w:r>
      <w:r w:rsidR="00EE073E">
        <w:rPr>
          <w:noProof/>
          <w:webHidden/>
        </w:rPr>
        <w:fldChar w:fldCharType="begin"/>
      </w:r>
      <w:r w:rsidR="00EE073E">
        <w:rPr>
          <w:noProof/>
          <w:webHidden/>
        </w:rPr>
        <w:instrText xml:space="preserve"> PAGEREF _Toc508894686 \h </w:instrText>
      </w:r>
      <w:r w:rsidR="00EE073E">
        <w:rPr>
          <w:noProof/>
          <w:webHidden/>
        </w:rPr>
      </w:r>
      <w:r w:rsidR="00EE073E">
        <w:rPr>
          <w:noProof/>
          <w:webHidden/>
        </w:rPr>
        <w:fldChar w:fldCharType="separate"/>
      </w:r>
      <w:r w:rsidR="00E16E42">
        <w:rPr>
          <w:noProof/>
          <w:webHidden/>
        </w:rPr>
        <w:t>1</w:t>
      </w:r>
      <w:r w:rsidR="00EE073E">
        <w:rPr>
          <w:noProof/>
          <w:webHidden/>
        </w:rPr>
        <w:fldChar w:fldCharType="end"/>
      </w:r>
    </w:p>
    <w:p w14:paraId="3C769FD1" w14:textId="7E7C9995" w:rsidR="00EE073E" w:rsidRDefault="00EE073E">
      <w:pPr>
        <w:pStyle w:val="TOC2"/>
        <w:tabs>
          <w:tab w:val="left" w:pos="1134"/>
        </w:tabs>
        <w:rPr>
          <w:rFonts w:eastAsiaTheme="minorEastAsia"/>
          <w:noProof/>
          <w:kern w:val="0"/>
          <w:sz w:val="22"/>
          <w:szCs w:val="22"/>
        </w:rPr>
      </w:pPr>
      <w:r>
        <w:rPr>
          <w:noProof/>
        </w:rPr>
        <w:t>1.1</w:t>
      </w:r>
      <w:r>
        <w:rPr>
          <w:rFonts w:eastAsiaTheme="minorEastAsia"/>
          <w:noProof/>
          <w:kern w:val="0"/>
          <w:sz w:val="22"/>
          <w:szCs w:val="22"/>
        </w:rPr>
        <w:tab/>
      </w:r>
      <w:r>
        <w:rPr>
          <w:noProof/>
        </w:rPr>
        <w:t>Case Study Background</w:t>
      </w:r>
      <w:r>
        <w:rPr>
          <w:noProof/>
          <w:webHidden/>
        </w:rPr>
        <w:tab/>
      </w:r>
      <w:r>
        <w:rPr>
          <w:noProof/>
          <w:webHidden/>
        </w:rPr>
        <w:fldChar w:fldCharType="begin"/>
      </w:r>
      <w:r>
        <w:rPr>
          <w:noProof/>
          <w:webHidden/>
        </w:rPr>
        <w:instrText xml:space="preserve"> PAGEREF _Toc508894687 \h </w:instrText>
      </w:r>
      <w:r>
        <w:rPr>
          <w:noProof/>
          <w:webHidden/>
        </w:rPr>
      </w:r>
      <w:r>
        <w:rPr>
          <w:noProof/>
          <w:webHidden/>
        </w:rPr>
        <w:fldChar w:fldCharType="separate"/>
      </w:r>
      <w:r w:rsidR="00E16E42">
        <w:rPr>
          <w:noProof/>
          <w:webHidden/>
        </w:rPr>
        <w:t>1</w:t>
      </w:r>
      <w:r>
        <w:rPr>
          <w:noProof/>
          <w:webHidden/>
        </w:rPr>
        <w:fldChar w:fldCharType="end"/>
      </w:r>
    </w:p>
    <w:p w14:paraId="2DDDE4E0" w14:textId="294FD248" w:rsidR="00EE073E" w:rsidRDefault="00EE073E">
      <w:pPr>
        <w:pStyle w:val="TOC2"/>
        <w:tabs>
          <w:tab w:val="left" w:pos="1134"/>
        </w:tabs>
        <w:rPr>
          <w:rFonts w:eastAsiaTheme="minorEastAsia"/>
          <w:noProof/>
          <w:kern w:val="0"/>
          <w:sz w:val="22"/>
          <w:szCs w:val="22"/>
        </w:rPr>
      </w:pPr>
      <w:r>
        <w:rPr>
          <w:noProof/>
        </w:rPr>
        <w:t>1.2</w:t>
      </w:r>
      <w:r>
        <w:rPr>
          <w:rFonts w:eastAsiaTheme="minorEastAsia"/>
          <w:noProof/>
          <w:kern w:val="0"/>
          <w:sz w:val="22"/>
          <w:szCs w:val="22"/>
        </w:rPr>
        <w:tab/>
      </w:r>
      <w:r>
        <w:rPr>
          <w:noProof/>
        </w:rPr>
        <w:t>Agency Characteristics</w:t>
      </w:r>
      <w:r>
        <w:rPr>
          <w:noProof/>
          <w:webHidden/>
        </w:rPr>
        <w:tab/>
      </w:r>
      <w:r>
        <w:rPr>
          <w:noProof/>
          <w:webHidden/>
        </w:rPr>
        <w:fldChar w:fldCharType="begin"/>
      </w:r>
      <w:r>
        <w:rPr>
          <w:noProof/>
          <w:webHidden/>
        </w:rPr>
        <w:instrText xml:space="preserve"> PAGEREF _Toc508894688 \h </w:instrText>
      </w:r>
      <w:r>
        <w:rPr>
          <w:noProof/>
          <w:webHidden/>
        </w:rPr>
      </w:r>
      <w:r>
        <w:rPr>
          <w:noProof/>
          <w:webHidden/>
        </w:rPr>
        <w:fldChar w:fldCharType="separate"/>
      </w:r>
      <w:r w:rsidR="00E16E42">
        <w:rPr>
          <w:noProof/>
          <w:webHidden/>
        </w:rPr>
        <w:t>1</w:t>
      </w:r>
      <w:r>
        <w:rPr>
          <w:noProof/>
          <w:webHidden/>
        </w:rPr>
        <w:fldChar w:fldCharType="end"/>
      </w:r>
    </w:p>
    <w:p w14:paraId="34A237F2" w14:textId="7BEB7845" w:rsidR="00EE073E" w:rsidRDefault="00EE073E">
      <w:pPr>
        <w:pStyle w:val="TOC2"/>
        <w:tabs>
          <w:tab w:val="left" w:pos="1134"/>
        </w:tabs>
        <w:rPr>
          <w:rFonts w:eastAsiaTheme="minorEastAsia"/>
          <w:noProof/>
          <w:kern w:val="0"/>
          <w:sz w:val="22"/>
          <w:szCs w:val="22"/>
        </w:rPr>
      </w:pPr>
      <w:r>
        <w:rPr>
          <w:noProof/>
        </w:rPr>
        <w:t>1.3</w:t>
      </w:r>
      <w:r>
        <w:rPr>
          <w:rFonts w:eastAsiaTheme="minorEastAsia"/>
          <w:noProof/>
          <w:kern w:val="0"/>
          <w:sz w:val="22"/>
          <w:szCs w:val="22"/>
        </w:rPr>
        <w:tab/>
      </w:r>
      <w:r>
        <w:rPr>
          <w:noProof/>
        </w:rPr>
        <w:t>Agency Interviews</w:t>
      </w:r>
      <w:r>
        <w:rPr>
          <w:noProof/>
          <w:webHidden/>
        </w:rPr>
        <w:tab/>
      </w:r>
      <w:r>
        <w:rPr>
          <w:noProof/>
          <w:webHidden/>
        </w:rPr>
        <w:fldChar w:fldCharType="begin"/>
      </w:r>
      <w:r>
        <w:rPr>
          <w:noProof/>
          <w:webHidden/>
        </w:rPr>
        <w:instrText xml:space="preserve"> PAGEREF _Toc508894689 \h </w:instrText>
      </w:r>
      <w:r>
        <w:rPr>
          <w:noProof/>
          <w:webHidden/>
        </w:rPr>
      </w:r>
      <w:r>
        <w:rPr>
          <w:noProof/>
          <w:webHidden/>
        </w:rPr>
        <w:fldChar w:fldCharType="separate"/>
      </w:r>
      <w:r w:rsidR="00E16E42">
        <w:rPr>
          <w:noProof/>
          <w:webHidden/>
        </w:rPr>
        <w:t>3</w:t>
      </w:r>
      <w:r>
        <w:rPr>
          <w:noProof/>
          <w:webHidden/>
        </w:rPr>
        <w:fldChar w:fldCharType="end"/>
      </w:r>
    </w:p>
    <w:p w14:paraId="4E491F32" w14:textId="12E9D35B" w:rsidR="00EE073E" w:rsidRDefault="00EE073E">
      <w:pPr>
        <w:pStyle w:val="TOC1"/>
        <w:rPr>
          <w:rFonts w:asciiTheme="minorHAnsi" w:eastAsiaTheme="minorEastAsia" w:hAnsiTheme="minorHAnsi"/>
          <w:noProof/>
          <w:kern w:val="0"/>
          <w:sz w:val="22"/>
          <w:szCs w:val="22"/>
        </w:rPr>
      </w:pPr>
      <w:r>
        <w:rPr>
          <w:noProof/>
        </w:rPr>
        <w:t>2.</w:t>
      </w:r>
      <w:r>
        <w:rPr>
          <w:rFonts w:asciiTheme="minorHAnsi" w:eastAsiaTheme="minorEastAsia" w:hAnsiTheme="minorHAnsi"/>
          <w:noProof/>
          <w:kern w:val="0"/>
          <w:sz w:val="22"/>
          <w:szCs w:val="22"/>
        </w:rPr>
        <w:tab/>
      </w:r>
      <w:r>
        <w:rPr>
          <w:noProof/>
        </w:rPr>
        <w:t>Degree of AVL/GPS Implementation</w:t>
      </w:r>
      <w:r>
        <w:rPr>
          <w:noProof/>
          <w:webHidden/>
        </w:rPr>
        <w:tab/>
      </w:r>
      <w:r>
        <w:rPr>
          <w:noProof/>
          <w:webHidden/>
        </w:rPr>
        <w:fldChar w:fldCharType="begin"/>
      </w:r>
      <w:r>
        <w:rPr>
          <w:noProof/>
          <w:webHidden/>
        </w:rPr>
        <w:instrText xml:space="preserve"> PAGEREF _Toc508894690 \h </w:instrText>
      </w:r>
      <w:r>
        <w:rPr>
          <w:noProof/>
          <w:webHidden/>
        </w:rPr>
      </w:r>
      <w:r>
        <w:rPr>
          <w:noProof/>
          <w:webHidden/>
        </w:rPr>
        <w:fldChar w:fldCharType="separate"/>
      </w:r>
      <w:r w:rsidR="00E16E42">
        <w:rPr>
          <w:noProof/>
          <w:webHidden/>
        </w:rPr>
        <w:t>4</w:t>
      </w:r>
      <w:r>
        <w:rPr>
          <w:noProof/>
          <w:webHidden/>
        </w:rPr>
        <w:fldChar w:fldCharType="end"/>
      </w:r>
    </w:p>
    <w:p w14:paraId="663EAAA9" w14:textId="423934EF" w:rsidR="00EE073E" w:rsidRDefault="00EE073E">
      <w:pPr>
        <w:pStyle w:val="TOC2"/>
        <w:tabs>
          <w:tab w:val="left" w:pos="1134"/>
        </w:tabs>
        <w:rPr>
          <w:rFonts w:eastAsiaTheme="minorEastAsia"/>
          <w:noProof/>
          <w:kern w:val="0"/>
          <w:sz w:val="22"/>
          <w:szCs w:val="22"/>
        </w:rPr>
      </w:pPr>
      <w:r>
        <w:rPr>
          <w:noProof/>
        </w:rPr>
        <w:t>2.1</w:t>
      </w:r>
      <w:r>
        <w:rPr>
          <w:rFonts w:eastAsiaTheme="minorEastAsia"/>
          <w:noProof/>
          <w:kern w:val="0"/>
          <w:sz w:val="22"/>
          <w:szCs w:val="22"/>
        </w:rPr>
        <w:tab/>
      </w:r>
      <w:r>
        <w:rPr>
          <w:noProof/>
        </w:rPr>
        <w:t>AVL/GPS Project Background</w:t>
      </w:r>
      <w:r>
        <w:rPr>
          <w:noProof/>
          <w:webHidden/>
        </w:rPr>
        <w:tab/>
      </w:r>
      <w:r>
        <w:rPr>
          <w:noProof/>
          <w:webHidden/>
        </w:rPr>
        <w:fldChar w:fldCharType="begin"/>
      </w:r>
      <w:r>
        <w:rPr>
          <w:noProof/>
          <w:webHidden/>
        </w:rPr>
        <w:instrText xml:space="preserve"> PAGEREF _Toc508894691 \h </w:instrText>
      </w:r>
      <w:r>
        <w:rPr>
          <w:noProof/>
          <w:webHidden/>
        </w:rPr>
      </w:r>
      <w:r>
        <w:rPr>
          <w:noProof/>
          <w:webHidden/>
        </w:rPr>
        <w:fldChar w:fldCharType="separate"/>
      </w:r>
      <w:r w:rsidR="00E16E42">
        <w:rPr>
          <w:noProof/>
          <w:webHidden/>
        </w:rPr>
        <w:t>4</w:t>
      </w:r>
      <w:r>
        <w:rPr>
          <w:noProof/>
          <w:webHidden/>
        </w:rPr>
        <w:fldChar w:fldCharType="end"/>
      </w:r>
    </w:p>
    <w:p w14:paraId="0D260C02" w14:textId="3D606A48" w:rsidR="00EE073E" w:rsidRDefault="00EE073E">
      <w:pPr>
        <w:pStyle w:val="TOC2"/>
        <w:tabs>
          <w:tab w:val="left" w:pos="1134"/>
        </w:tabs>
        <w:rPr>
          <w:rFonts w:eastAsiaTheme="minorEastAsia"/>
          <w:noProof/>
          <w:kern w:val="0"/>
          <w:sz w:val="22"/>
          <w:szCs w:val="22"/>
        </w:rPr>
      </w:pPr>
      <w:r>
        <w:rPr>
          <w:noProof/>
        </w:rPr>
        <w:t>2.2</w:t>
      </w:r>
      <w:r>
        <w:rPr>
          <w:rFonts w:eastAsiaTheme="minorEastAsia"/>
          <w:noProof/>
          <w:kern w:val="0"/>
          <w:sz w:val="22"/>
          <w:szCs w:val="22"/>
        </w:rPr>
        <w:tab/>
      </w:r>
      <w:r>
        <w:rPr>
          <w:noProof/>
        </w:rPr>
        <w:t>Size of AVL/GPS Implementation</w:t>
      </w:r>
      <w:r>
        <w:rPr>
          <w:noProof/>
          <w:webHidden/>
        </w:rPr>
        <w:tab/>
      </w:r>
      <w:r>
        <w:rPr>
          <w:noProof/>
          <w:webHidden/>
        </w:rPr>
        <w:fldChar w:fldCharType="begin"/>
      </w:r>
      <w:r>
        <w:rPr>
          <w:noProof/>
          <w:webHidden/>
        </w:rPr>
        <w:instrText xml:space="preserve"> PAGEREF _Toc508894692 \h </w:instrText>
      </w:r>
      <w:r>
        <w:rPr>
          <w:noProof/>
          <w:webHidden/>
        </w:rPr>
      </w:r>
      <w:r>
        <w:rPr>
          <w:noProof/>
          <w:webHidden/>
        </w:rPr>
        <w:fldChar w:fldCharType="separate"/>
      </w:r>
      <w:r w:rsidR="00E16E42">
        <w:rPr>
          <w:noProof/>
          <w:webHidden/>
        </w:rPr>
        <w:t>4</w:t>
      </w:r>
      <w:r>
        <w:rPr>
          <w:noProof/>
          <w:webHidden/>
        </w:rPr>
        <w:fldChar w:fldCharType="end"/>
      </w:r>
    </w:p>
    <w:p w14:paraId="07A770D0" w14:textId="688EE937" w:rsidR="00EE073E" w:rsidRDefault="00EE073E">
      <w:pPr>
        <w:pStyle w:val="TOC2"/>
        <w:tabs>
          <w:tab w:val="left" w:pos="1134"/>
        </w:tabs>
        <w:rPr>
          <w:rFonts w:eastAsiaTheme="minorEastAsia"/>
          <w:noProof/>
          <w:kern w:val="0"/>
          <w:sz w:val="22"/>
          <w:szCs w:val="22"/>
        </w:rPr>
      </w:pPr>
      <w:r>
        <w:rPr>
          <w:noProof/>
        </w:rPr>
        <w:t>2.3</w:t>
      </w:r>
      <w:r>
        <w:rPr>
          <w:rFonts w:eastAsiaTheme="minorEastAsia"/>
          <w:noProof/>
          <w:kern w:val="0"/>
          <w:sz w:val="22"/>
          <w:szCs w:val="22"/>
        </w:rPr>
        <w:tab/>
      </w:r>
      <w:r>
        <w:rPr>
          <w:noProof/>
        </w:rPr>
        <w:t>AVL/GPS Vendor Solution</w:t>
      </w:r>
      <w:r>
        <w:rPr>
          <w:noProof/>
          <w:webHidden/>
        </w:rPr>
        <w:tab/>
      </w:r>
      <w:r>
        <w:rPr>
          <w:noProof/>
          <w:webHidden/>
        </w:rPr>
        <w:fldChar w:fldCharType="begin"/>
      </w:r>
      <w:r>
        <w:rPr>
          <w:noProof/>
          <w:webHidden/>
        </w:rPr>
        <w:instrText xml:space="preserve"> PAGEREF _Toc508894693 \h </w:instrText>
      </w:r>
      <w:r>
        <w:rPr>
          <w:noProof/>
          <w:webHidden/>
        </w:rPr>
      </w:r>
      <w:r>
        <w:rPr>
          <w:noProof/>
          <w:webHidden/>
        </w:rPr>
        <w:fldChar w:fldCharType="separate"/>
      </w:r>
      <w:r w:rsidR="00E16E42">
        <w:rPr>
          <w:noProof/>
          <w:webHidden/>
        </w:rPr>
        <w:t>4</w:t>
      </w:r>
      <w:r>
        <w:rPr>
          <w:noProof/>
          <w:webHidden/>
        </w:rPr>
        <w:fldChar w:fldCharType="end"/>
      </w:r>
    </w:p>
    <w:p w14:paraId="3D9F8500" w14:textId="05A1A8A5" w:rsidR="00EE073E" w:rsidRDefault="00EE073E">
      <w:pPr>
        <w:pStyle w:val="TOC1"/>
        <w:rPr>
          <w:rFonts w:asciiTheme="minorHAnsi" w:eastAsiaTheme="minorEastAsia" w:hAnsiTheme="minorHAnsi"/>
          <w:noProof/>
          <w:kern w:val="0"/>
          <w:sz w:val="22"/>
          <w:szCs w:val="22"/>
        </w:rPr>
      </w:pPr>
      <w:r>
        <w:rPr>
          <w:noProof/>
        </w:rPr>
        <w:t>3.</w:t>
      </w:r>
      <w:r>
        <w:rPr>
          <w:rFonts w:asciiTheme="minorHAnsi" w:eastAsiaTheme="minorEastAsia" w:hAnsiTheme="minorHAnsi"/>
          <w:noProof/>
          <w:kern w:val="0"/>
          <w:sz w:val="22"/>
          <w:szCs w:val="22"/>
        </w:rPr>
        <w:tab/>
      </w:r>
      <w:r>
        <w:rPr>
          <w:noProof/>
        </w:rPr>
        <w:t>Level of System Integration</w:t>
      </w:r>
      <w:r>
        <w:rPr>
          <w:noProof/>
          <w:webHidden/>
        </w:rPr>
        <w:tab/>
      </w:r>
      <w:r>
        <w:rPr>
          <w:noProof/>
          <w:webHidden/>
        </w:rPr>
        <w:fldChar w:fldCharType="begin"/>
      </w:r>
      <w:r>
        <w:rPr>
          <w:noProof/>
          <w:webHidden/>
        </w:rPr>
        <w:instrText xml:space="preserve"> PAGEREF _Toc508894694 \h </w:instrText>
      </w:r>
      <w:r>
        <w:rPr>
          <w:noProof/>
          <w:webHidden/>
        </w:rPr>
      </w:r>
      <w:r>
        <w:rPr>
          <w:noProof/>
          <w:webHidden/>
        </w:rPr>
        <w:fldChar w:fldCharType="separate"/>
      </w:r>
      <w:r w:rsidR="00E16E42">
        <w:rPr>
          <w:noProof/>
          <w:webHidden/>
        </w:rPr>
        <w:t>5</w:t>
      </w:r>
      <w:r>
        <w:rPr>
          <w:noProof/>
          <w:webHidden/>
        </w:rPr>
        <w:fldChar w:fldCharType="end"/>
      </w:r>
    </w:p>
    <w:p w14:paraId="2BBE15A3" w14:textId="22684097" w:rsidR="00EE073E" w:rsidRDefault="00EE073E">
      <w:pPr>
        <w:pStyle w:val="TOC2"/>
        <w:tabs>
          <w:tab w:val="left" w:pos="1134"/>
        </w:tabs>
        <w:rPr>
          <w:rFonts w:eastAsiaTheme="minorEastAsia"/>
          <w:noProof/>
          <w:kern w:val="0"/>
          <w:sz w:val="22"/>
          <w:szCs w:val="22"/>
        </w:rPr>
      </w:pPr>
      <w:r>
        <w:rPr>
          <w:noProof/>
        </w:rPr>
        <w:t>3.1</w:t>
      </w:r>
      <w:r>
        <w:rPr>
          <w:rFonts w:eastAsiaTheme="minorEastAsia"/>
          <w:noProof/>
          <w:kern w:val="0"/>
          <w:sz w:val="22"/>
          <w:szCs w:val="22"/>
        </w:rPr>
        <w:tab/>
      </w:r>
      <w:r>
        <w:rPr>
          <w:noProof/>
        </w:rPr>
        <w:t>Vehicle Hardware</w:t>
      </w:r>
      <w:r>
        <w:rPr>
          <w:noProof/>
          <w:webHidden/>
        </w:rPr>
        <w:tab/>
      </w:r>
      <w:r>
        <w:rPr>
          <w:noProof/>
          <w:webHidden/>
        </w:rPr>
        <w:fldChar w:fldCharType="begin"/>
      </w:r>
      <w:r>
        <w:rPr>
          <w:noProof/>
          <w:webHidden/>
        </w:rPr>
        <w:instrText xml:space="preserve"> PAGEREF _Toc508894695 \h </w:instrText>
      </w:r>
      <w:r>
        <w:rPr>
          <w:noProof/>
          <w:webHidden/>
        </w:rPr>
      </w:r>
      <w:r>
        <w:rPr>
          <w:noProof/>
          <w:webHidden/>
        </w:rPr>
        <w:fldChar w:fldCharType="separate"/>
      </w:r>
      <w:r w:rsidR="00E16E42">
        <w:rPr>
          <w:noProof/>
          <w:webHidden/>
        </w:rPr>
        <w:t>5</w:t>
      </w:r>
      <w:r>
        <w:rPr>
          <w:noProof/>
          <w:webHidden/>
        </w:rPr>
        <w:fldChar w:fldCharType="end"/>
      </w:r>
    </w:p>
    <w:p w14:paraId="3650D061" w14:textId="7186E6C8" w:rsidR="00EE073E" w:rsidRDefault="00EE073E">
      <w:pPr>
        <w:pStyle w:val="TOC2"/>
        <w:tabs>
          <w:tab w:val="left" w:pos="1134"/>
        </w:tabs>
        <w:rPr>
          <w:rFonts w:eastAsiaTheme="minorEastAsia"/>
          <w:noProof/>
          <w:kern w:val="0"/>
          <w:sz w:val="22"/>
          <w:szCs w:val="22"/>
        </w:rPr>
      </w:pPr>
      <w:r>
        <w:rPr>
          <w:noProof/>
        </w:rPr>
        <w:t>3.2</w:t>
      </w:r>
      <w:r>
        <w:rPr>
          <w:rFonts w:eastAsiaTheme="minorEastAsia"/>
          <w:noProof/>
          <w:kern w:val="0"/>
          <w:sz w:val="22"/>
          <w:szCs w:val="22"/>
        </w:rPr>
        <w:tab/>
      </w:r>
      <w:r>
        <w:rPr>
          <w:noProof/>
        </w:rPr>
        <w:t>AVL/GPS System Software</w:t>
      </w:r>
      <w:r>
        <w:rPr>
          <w:noProof/>
          <w:webHidden/>
        </w:rPr>
        <w:tab/>
      </w:r>
      <w:r>
        <w:rPr>
          <w:noProof/>
          <w:webHidden/>
        </w:rPr>
        <w:fldChar w:fldCharType="begin"/>
      </w:r>
      <w:r>
        <w:rPr>
          <w:noProof/>
          <w:webHidden/>
        </w:rPr>
        <w:instrText xml:space="preserve"> PAGEREF _Toc508894696 \h </w:instrText>
      </w:r>
      <w:r>
        <w:rPr>
          <w:noProof/>
          <w:webHidden/>
        </w:rPr>
      </w:r>
      <w:r>
        <w:rPr>
          <w:noProof/>
          <w:webHidden/>
        </w:rPr>
        <w:fldChar w:fldCharType="separate"/>
      </w:r>
      <w:r w:rsidR="00E16E42">
        <w:rPr>
          <w:noProof/>
          <w:webHidden/>
        </w:rPr>
        <w:t>8</w:t>
      </w:r>
      <w:r>
        <w:rPr>
          <w:noProof/>
          <w:webHidden/>
        </w:rPr>
        <w:fldChar w:fldCharType="end"/>
      </w:r>
    </w:p>
    <w:p w14:paraId="5556DBA0" w14:textId="396DF2C0" w:rsidR="00EE073E" w:rsidRDefault="00EE073E">
      <w:pPr>
        <w:pStyle w:val="TOC2"/>
        <w:tabs>
          <w:tab w:val="left" w:pos="1134"/>
        </w:tabs>
        <w:rPr>
          <w:rFonts w:eastAsiaTheme="minorEastAsia"/>
          <w:noProof/>
          <w:kern w:val="0"/>
          <w:sz w:val="22"/>
          <w:szCs w:val="22"/>
        </w:rPr>
      </w:pPr>
      <w:r>
        <w:rPr>
          <w:noProof/>
        </w:rPr>
        <w:t>3.3</w:t>
      </w:r>
      <w:r>
        <w:rPr>
          <w:rFonts w:eastAsiaTheme="minorEastAsia"/>
          <w:noProof/>
          <w:kern w:val="0"/>
          <w:sz w:val="22"/>
          <w:szCs w:val="22"/>
        </w:rPr>
        <w:tab/>
      </w:r>
      <w:r>
        <w:rPr>
          <w:noProof/>
        </w:rPr>
        <w:t>Vehicle</w:t>
      </w:r>
      <w:r w:rsidR="000B74A0">
        <w:rPr>
          <w:noProof/>
        </w:rPr>
        <w:t>-to-Center</w:t>
      </w:r>
      <w:r>
        <w:rPr>
          <w:noProof/>
        </w:rPr>
        <w:t xml:space="preserve"> Communications</w:t>
      </w:r>
      <w:r>
        <w:rPr>
          <w:noProof/>
          <w:webHidden/>
        </w:rPr>
        <w:tab/>
      </w:r>
      <w:r>
        <w:rPr>
          <w:noProof/>
          <w:webHidden/>
        </w:rPr>
        <w:fldChar w:fldCharType="begin"/>
      </w:r>
      <w:r>
        <w:rPr>
          <w:noProof/>
          <w:webHidden/>
        </w:rPr>
        <w:instrText xml:space="preserve"> PAGEREF _Toc508894697 \h </w:instrText>
      </w:r>
      <w:r>
        <w:rPr>
          <w:noProof/>
          <w:webHidden/>
        </w:rPr>
      </w:r>
      <w:r>
        <w:rPr>
          <w:noProof/>
          <w:webHidden/>
        </w:rPr>
        <w:fldChar w:fldCharType="separate"/>
      </w:r>
      <w:r w:rsidR="00E16E42">
        <w:rPr>
          <w:noProof/>
          <w:webHidden/>
        </w:rPr>
        <w:t>8</w:t>
      </w:r>
      <w:r>
        <w:rPr>
          <w:noProof/>
          <w:webHidden/>
        </w:rPr>
        <w:fldChar w:fldCharType="end"/>
      </w:r>
    </w:p>
    <w:p w14:paraId="0034606C" w14:textId="624D7C2E" w:rsidR="00EE073E" w:rsidRDefault="00EE073E">
      <w:pPr>
        <w:pStyle w:val="TOC1"/>
        <w:rPr>
          <w:rFonts w:asciiTheme="minorHAnsi" w:eastAsiaTheme="minorEastAsia" w:hAnsiTheme="minorHAnsi"/>
          <w:noProof/>
          <w:kern w:val="0"/>
          <w:sz w:val="22"/>
          <w:szCs w:val="22"/>
        </w:rPr>
      </w:pPr>
      <w:r>
        <w:rPr>
          <w:noProof/>
        </w:rPr>
        <w:t>4.</w:t>
      </w:r>
      <w:r>
        <w:rPr>
          <w:rFonts w:asciiTheme="minorHAnsi" w:eastAsiaTheme="minorEastAsia" w:hAnsiTheme="minorHAnsi"/>
          <w:noProof/>
          <w:kern w:val="0"/>
          <w:sz w:val="22"/>
          <w:szCs w:val="22"/>
        </w:rPr>
        <w:tab/>
      </w:r>
      <w:r>
        <w:rPr>
          <w:noProof/>
        </w:rPr>
        <w:t>System Decision Making Processes</w:t>
      </w:r>
      <w:r>
        <w:rPr>
          <w:noProof/>
          <w:webHidden/>
        </w:rPr>
        <w:tab/>
      </w:r>
      <w:r>
        <w:rPr>
          <w:noProof/>
          <w:webHidden/>
        </w:rPr>
        <w:fldChar w:fldCharType="begin"/>
      </w:r>
      <w:r>
        <w:rPr>
          <w:noProof/>
          <w:webHidden/>
        </w:rPr>
        <w:instrText xml:space="preserve"> PAGEREF _Toc508894698 \h </w:instrText>
      </w:r>
      <w:r>
        <w:rPr>
          <w:noProof/>
          <w:webHidden/>
        </w:rPr>
      </w:r>
      <w:r>
        <w:rPr>
          <w:noProof/>
          <w:webHidden/>
        </w:rPr>
        <w:fldChar w:fldCharType="separate"/>
      </w:r>
      <w:r w:rsidR="00E16E42">
        <w:rPr>
          <w:noProof/>
          <w:webHidden/>
        </w:rPr>
        <w:t>8</w:t>
      </w:r>
      <w:r>
        <w:rPr>
          <w:noProof/>
          <w:webHidden/>
        </w:rPr>
        <w:fldChar w:fldCharType="end"/>
      </w:r>
    </w:p>
    <w:p w14:paraId="7463B3CC" w14:textId="4A81EB40" w:rsidR="00EE073E" w:rsidRDefault="00EE073E">
      <w:pPr>
        <w:pStyle w:val="TOC2"/>
        <w:tabs>
          <w:tab w:val="left" w:pos="1134"/>
        </w:tabs>
        <w:rPr>
          <w:rFonts w:eastAsiaTheme="minorEastAsia"/>
          <w:noProof/>
          <w:kern w:val="0"/>
          <w:sz w:val="22"/>
          <w:szCs w:val="22"/>
        </w:rPr>
      </w:pPr>
      <w:r>
        <w:rPr>
          <w:noProof/>
        </w:rPr>
        <w:t>4.1</w:t>
      </w:r>
      <w:r>
        <w:rPr>
          <w:rFonts w:eastAsiaTheme="minorEastAsia"/>
          <w:noProof/>
          <w:kern w:val="0"/>
          <w:sz w:val="22"/>
          <w:szCs w:val="22"/>
        </w:rPr>
        <w:tab/>
      </w:r>
      <w:r>
        <w:rPr>
          <w:noProof/>
        </w:rPr>
        <w:t>Level of Management Involved</w:t>
      </w:r>
      <w:r>
        <w:rPr>
          <w:noProof/>
          <w:webHidden/>
        </w:rPr>
        <w:tab/>
      </w:r>
      <w:r>
        <w:rPr>
          <w:noProof/>
          <w:webHidden/>
        </w:rPr>
        <w:fldChar w:fldCharType="begin"/>
      </w:r>
      <w:r>
        <w:rPr>
          <w:noProof/>
          <w:webHidden/>
        </w:rPr>
        <w:instrText xml:space="preserve"> PAGEREF _Toc508894699 \h </w:instrText>
      </w:r>
      <w:r>
        <w:rPr>
          <w:noProof/>
          <w:webHidden/>
        </w:rPr>
      </w:r>
      <w:r>
        <w:rPr>
          <w:noProof/>
          <w:webHidden/>
        </w:rPr>
        <w:fldChar w:fldCharType="separate"/>
      </w:r>
      <w:r w:rsidR="00E16E42">
        <w:rPr>
          <w:noProof/>
          <w:webHidden/>
        </w:rPr>
        <w:t>8</w:t>
      </w:r>
      <w:r>
        <w:rPr>
          <w:noProof/>
          <w:webHidden/>
        </w:rPr>
        <w:fldChar w:fldCharType="end"/>
      </w:r>
    </w:p>
    <w:p w14:paraId="2FF58B87" w14:textId="08C839A6" w:rsidR="00EE073E" w:rsidRDefault="00EE073E">
      <w:pPr>
        <w:pStyle w:val="TOC2"/>
        <w:tabs>
          <w:tab w:val="left" w:pos="1134"/>
        </w:tabs>
        <w:rPr>
          <w:rFonts w:eastAsiaTheme="minorEastAsia"/>
          <w:noProof/>
          <w:kern w:val="0"/>
          <w:sz w:val="22"/>
          <w:szCs w:val="22"/>
        </w:rPr>
      </w:pPr>
      <w:r>
        <w:rPr>
          <w:noProof/>
        </w:rPr>
        <w:t>4.2</w:t>
      </w:r>
      <w:r>
        <w:rPr>
          <w:rFonts w:eastAsiaTheme="minorEastAsia"/>
          <w:noProof/>
          <w:kern w:val="0"/>
          <w:sz w:val="22"/>
          <w:szCs w:val="22"/>
        </w:rPr>
        <w:tab/>
      </w:r>
      <w:r>
        <w:rPr>
          <w:noProof/>
        </w:rPr>
        <w:t>Factors Considered</w:t>
      </w:r>
      <w:r>
        <w:rPr>
          <w:noProof/>
          <w:webHidden/>
        </w:rPr>
        <w:tab/>
      </w:r>
      <w:r>
        <w:rPr>
          <w:noProof/>
          <w:webHidden/>
        </w:rPr>
        <w:fldChar w:fldCharType="begin"/>
      </w:r>
      <w:r>
        <w:rPr>
          <w:noProof/>
          <w:webHidden/>
        </w:rPr>
        <w:instrText xml:space="preserve"> PAGEREF _Toc508894700 \h </w:instrText>
      </w:r>
      <w:r>
        <w:rPr>
          <w:noProof/>
          <w:webHidden/>
        </w:rPr>
      </w:r>
      <w:r>
        <w:rPr>
          <w:noProof/>
          <w:webHidden/>
        </w:rPr>
        <w:fldChar w:fldCharType="separate"/>
      </w:r>
      <w:r w:rsidR="00E16E42">
        <w:rPr>
          <w:noProof/>
          <w:webHidden/>
        </w:rPr>
        <w:t>9</w:t>
      </w:r>
      <w:r>
        <w:rPr>
          <w:noProof/>
          <w:webHidden/>
        </w:rPr>
        <w:fldChar w:fldCharType="end"/>
      </w:r>
    </w:p>
    <w:p w14:paraId="79F689D7" w14:textId="4A5FED28" w:rsidR="00EE073E" w:rsidRDefault="00EE073E">
      <w:pPr>
        <w:pStyle w:val="TOC1"/>
        <w:rPr>
          <w:rFonts w:asciiTheme="minorHAnsi" w:eastAsiaTheme="minorEastAsia" w:hAnsiTheme="minorHAnsi"/>
          <w:noProof/>
          <w:kern w:val="0"/>
          <w:sz w:val="22"/>
          <w:szCs w:val="22"/>
        </w:rPr>
      </w:pPr>
      <w:r>
        <w:rPr>
          <w:noProof/>
        </w:rPr>
        <w:t>5.</w:t>
      </w:r>
      <w:r>
        <w:rPr>
          <w:rFonts w:asciiTheme="minorHAnsi" w:eastAsiaTheme="minorEastAsia" w:hAnsiTheme="minorHAnsi"/>
          <w:noProof/>
          <w:kern w:val="0"/>
          <w:sz w:val="22"/>
          <w:szCs w:val="22"/>
        </w:rPr>
        <w:tab/>
      </w:r>
      <w:r>
        <w:rPr>
          <w:noProof/>
        </w:rPr>
        <w:t>Data Collection and Management</w:t>
      </w:r>
      <w:r>
        <w:rPr>
          <w:noProof/>
          <w:webHidden/>
        </w:rPr>
        <w:tab/>
      </w:r>
      <w:r>
        <w:rPr>
          <w:noProof/>
          <w:webHidden/>
        </w:rPr>
        <w:fldChar w:fldCharType="begin"/>
      </w:r>
      <w:r>
        <w:rPr>
          <w:noProof/>
          <w:webHidden/>
        </w:rPr>
        <w:instrText xml:space="preserve"> PAGEREF _Toc508894701 \h </w:instrText>
      </w:r>
      <w:r>
        <w:rPr>
          <w:noProof/>
          <w:webHidden/>
        </w:rPr>
      </w:r>
      <w:r>
        <w:rPr>
          <w:noProof/>
          <w:webHidden/>
        </w:rPr>
        <w:fldChar w:fldCharType="separate"/>
      </w:r>
      <w:r w:rsidR="00E16E42">
        <w:rPr>
          <w:noProof/>
          <w:webHidden/>
        </w:rPr>
        <w:t>9</w:t>
      </w:r>
      <w:r>
        <w:rPr>
          <w:noProof/>
          <w:webHidden/>
        </w:rPr>
        <w:fldChar w:fldCharType="end"/>
      </w:r>
    </w:p>
    <w:p w14:paraId="0212E81B" w14:textId="45876F9E" w:rsidR="00EE073E" w:rsidRDefault="00EE073E">
      <w:pPr>
        <w:pStyle w:val="TOC2"/>
        <w:tabs>
          <w:tab w:val="left" w:pos="1134"/>
        </w:tabs>
        <w:rPr>
          <w:rFonts w:eastAsiaTheme="minorEastAsia"/>
          <w:noProof/>
          <w:kern w:val="0"/>
          <w:sz w:val="22"/>
          <w:szCs w:val="22"/>
        </w:rPr>
      </w:pPr>
      <w:r>
        <w:rPr>
          <w:noProof/>
        </w:rPr>
        <w:t>5.1</w:t>
      </w:r>
      <w:r>
        <w:rPr>
          <w:rFonts w:eastAsiaTheme="minorEastAsia"/>
          <w:noProof/>
          <w:kern w:val="0"/>
          <w:sz w:val="22"/>
          <w:szCs w:val="22"/>
        </w:rPr>
        <w:tab/>
      </w:r>
      <w:r>
        <w:rPr>
          <w:noProof/>
        </w:rPr>
        <w:t>Data Collection</w:t>
      </w:r>
      <w:r>
        <w:rPr>
          <w:noProof/>
          <w:webHidden/>
        </w:rPr>
        <w:tab/>
      </w:r>
      <w:r>
        <w:rPr>
          <w:noProof/>
          <w:webHidden/>
        </w:rPr>
        <w:fldChar w:fldCharType="begin"/>
      </w:r>
      <w:r>
        <w:rPr>
          <w:noProof/>
          <w:webHidden/>
        </w:rPr>
        <w:instrText xml:space="preserve"> PAGEREF _Toc508894702 \h </w:instrText>
      </w:r>
      <w:r>
        <w:rPr>
          <w:noProof/>
          <w:webHidden/>
        </w:rPr>
      </w:r>
      <w:r>
        <w:rPr>
          <w:noProof/>
          <w:webHidden/>
        </w:rPr>
        <w:fldChar w:fldCharType="separate"/>
      </w:r>
      <w:r w:rsidR="00E16E42">
        <w:rPr>
          <w:noProof/>
          <w:webHidden/>
        </w:rPr>
        <w:t>9</w:t>
      </w:r>
      <w:r>
        <w:rPr>
          <w:noProof/>
          <w:webHidden/>
        </w:rPr>
        <w:fldChar w:fldCharType="end"/>
      </w:r>
    </w:p>
    <w:p w14:paraId="2A5F15F9" w14:textId="4874AA6B" w:rsidR="00EE073E" w:rsidRDefault="00EE073E">
      <w:pPr>
        <w:pStyle w:val="TOC2"/>
        <w:tabs>
          <w:tab w:val="left" w:pos="1134"/>
        </w:tabs>
        <w:rPr>
          <w:rFonts w:eastAsiaTheme="minorEastAsia"/>
          <w:noProof/>
          <w:kern w:val="0"/>
          <w:sz w:val="22"/>
          <w:szCs w:val="22"/>
        </w:rPr>
      </w:pPr>
      <w:r>
        <w:rPr>
          <w:noProof/>
        </w:rPr>
        <w:t>5.2</w:t>
      </w:r>
      <w:r>
        <w:rPr>
          <w:rFonts w:eastAsiaTheme="minorEastAsia"/>
          <w:noProof/>
          <w:kern w:val="0"/>
          <w:sz w:val="22"/>
          <w:szCs w:val="22"/>
        </w:rPr>
        <w:tab/>
      </w:r>
      <w:r>
        <w:rPr>
          <w:noProof/>
        </w:rPr>
        <w:t>Data Accuracy</w:t>
      </w:r>
      <w:r>
        <w:rPr>
          <w:noProof/>
          <w:webHidden/>
        </w:rPr>
        <w:tab/>
      </w:r>
      <w:r>
        <w:rPr>
          <w:noProof/>
          <w:webHidden/>
        </w:rPr>
        <w:fldChar w:fldCharType="begin"/>
      </w:r>
      <w:r>
        <w:rPr>
          <w:noProof/>
          <w:webHidden/>
        </w:rPr>
        <w:instrText xml:space="preserve"> PAGEREF _Toc508894703 \h </w:instrText>
      </w:r>
      <w:r>
        <w:rPr>
          <w:noProof/>
          <w:webHidden/>
        </w:rPr>
      </w:r>
      <w:r>
        <w:rPr>
          <w:noProof/>
          <w:webHidden/>
        </w:rPr>
        <w:fldChar w:fldCharType="separate"/>
      </w:r>
      <w:r w:rsidR="00E16E42">
        <w:rPr>
          <w:noProof/>
          <w:webHidden/>
        </w:rPr>
        <w:t>10</w:t>
      </w:r>
      <w:r>
        <w:rPr>
          <w:noProof/>
          <w:webHidden/>
        </w:rPr>
        <w:fldChar w:fldCharType="end"/>
      </w:r>
    </w:p>
    <w:p w14:paraId="1CDAB3D9" w14:textId="1A1CA27B" w:rsidR="00EE073E" w:rsidRDefault="00EE073E">
      <w:pPr>
        <w:pStyle w:val="TOC2"/>
        <w:tabs>
          <w:tab w:val="left" w:pos="1134"/>
        </w:tabs>
        <w:rPr>
          <w:rFonts w:eastAsiaTheme="minorEastAsia"/>
          <w:noProof/>
          <w:kern w:val="0"/>
          <w:sz w:val="22"/>
          <w:szCs w:val="22"/>
        </w:rPr>
      </w:pPr>
      <w:r>
        <w:rPr>
          <w:noProof/>
        </w:rPr>
        <w:t>5.3</w:t>
      </w:r>
      <w:r>
        <w:rPr>
          <w:rFonts w:eastAsiaTheme="minorEastAsia"/>
          <w:noProof/>
          <w:kern w:val="0"/>
          <w:sz w:val="22"/>
          <w:szCs w:val="22"/>
        </w:rPr>
        <w:tab/>
      </w:r>
      <w:r>
        <w:rPr>
          <w:noProof/>
        </w:rPr>
        <w:t>Staffing and Resources</w:t>
      </w:r>
      <w:r>
        <w:rPr>
          <w:noProof/>
          <w:webHidden/>
        </w:rPr>
        <w:tab/>
      </w:r>
      <w:r>
        <w:rPr>
          <w:noProof/>
          <w:webHidden/>
        </w:rPr>
        <w:fldChar w:fldCharType="begin"/>
      </w:r>
      <w:r>
        <w:rPr>
          <w:noProof/>
          <w:webHidden/>
        </w:rPr>
        <w:instrText xml:space="preserve"> PAGEREF _Toc508894704 \h </w:instrText>
      </w:r>
      <w:r>
        <w:rPr>
          <w:noProof/>
          <w:webHidden/>
        </w:rPr>
      </w:r>
      <w:r>
        <w:rPr>
          <w:noProof/>
          <w:webHidden/>
        </w:rPr>
        <w:fldChar w:fldCharType="separate"/>
      </w:r>
      <w:r w:rsidR="00E16E42">
        <w:rPr>
          <w:noProof/>
          <w:webHidden/>
        </w:rPr>
        <w:t>10</w:t>
      </w:r>
      <w:r>
        <w:rPr>
          <w:noProof/>
          <w:webHidden/>
        </w:rPr>
        <w:fldChar w:fldCharType="end"/>
      </w:r>
    </w:p>
    <w:p w14:paraId="0D3253C4" w14:textId="17F931C2" w:rsidR="00EE073E" w:rsidRDefault="00EE073E">
      <w:pPr>
        <w:pStyle w:val="TOC2"/>
        <w:tabs>
          <w:tab w:val="left" w:pos="1134"/>
        </w:tabs>
        <w:rPr>
          <w:rFonts w:eastAsiaTheme="minorEastAsia"/>
          <w:noProof/>
          <w:kern w:val="0"/>
          <w:sz w:val="22"/>
          <w:szCs w:val="22"/>
        </w:rPr>
      </w:pPr>
      <w:r>
        <w:rPr>
          <w:noProof/>
        </w:rPr>
        <w:t>5.4</w:t>
      </w:r>
      <w:r>
        <w:rPr>
          <w:rFonts w:eastAsiaTheme="minorEastAsia"/>
          <w:noProof/>
          <w:kern w:val="0"/>
          <w:sz w:val="22"/>
          <w:szCs w:val="22"/>
        </w:rPr>
        <w:tab/>
      </w:r>
      <w:r>
        <w:rPr>
          <w:noProof/>
        </w:rPr>
        <w:t>System Data Usage</w:t>
      </w:r>
      <w:r>
        <w:rPr>
          <w:noProof/>
          <w:webHidden/>
        </w:rPr>
        <w:tab/>
      </w:r>
      <w:r>
        <w:rPr>
          <w:noProof/>
          <w:webHidden/>
        </w:rPr>
        <w:fldChar w:fldCharType="begin"/>
      </w:r>
      <w:r>
        <w:rPr>
          <w:noProof/>
          <w:webHidden/>
        </w:rPr>
        <w:instrText xml:space="preserve"> PAGEREF _Toc508894705 \h </w:instrText>
      </w:r>
      <w:r>
        <w:rPr>
          <w:noProof/>
          <w:webHidden/>
        </w:rPr>
      </w:r>
      <w:r>
        <w:rPr>
          <w:noProof/>
          <w:webHidden/>
        </w:rPr>
        <w:fldChar w:fldCharType="separate"/>
      </w:r>
      <w:r w:rsidR="00E16E42">
        <w:rPr>
          <w:noProof/>
          <w:webHidden/>
        </w:rPr>
        <w:t>10</w:t>
      </w:r>
      <w:r>
        <w:rPr>
          <w:noProof/>
          <w:webHidden/>
        </w:rPr>
        <w:fldChar w:fldCharType="end"/>
      </w:r>
    </w:p>
    <w:p w14:paraId="5EC44810" w14:textId="0792EAC4" w:rsidR="00EE073E" w:rsidRDefault="00EE073E">
      <w:pPr>
        <w:pStyle w:val="TOC2"/>
        <w:tabs>
          <w:tab w:val="left" w:pos="1134"/>
        </w:tabs>
        <w:rPr>
          <w:rFonts w:eastAsiaTheme="minorEastAsia"/>
          <w:noProof/>
          <w:kern w:val="0"/>
          <w:sz w:val="22"/>
          <w:szCs w:val="22"/>
        </w:rPr>
      </w:pPr>
      <w:r>
        <w:rPr>
          <w:noProof/>
        </w:rPr>
        <w:t>5.5</w:t>
      </w:r>
      <w:r>
        <w:rPr>
          <w:rFonts w:eastAsiaTheme="minorEastAsia"/>
          <w:noProof/>
          <w:kern w:val="0"/>
          <w:sz w:val="22"/>
          <w:szCs w:val="22"/>
        </w:rPr>
        <w:tab/>
      </w:r>
      <w:r>
        <w:rPr>
          <w:noProof/>
        </w:rPr>
        <w:t>Agency Policy and Agreements for Data Sharing</w:t>
      </w:r>
      <w:r>
        <w:rPr>
          <w:noProof/>
          <w:webHidden/>
        </w:rPr>
        <w:tab/>
      </w:r>
      <w:r>
        <w:rPr>
          <w:noProof/>
          <w:webHidden/>
        </w:rPr>
        <w:fldChar w:fldCharType="begin"/>
      </w:r>
      <w:r>
        <w:rPr>
          <w:noProof/>
          <w:webHidden/>
        </w:rPr>
        <w:instrText xml:space="preserve"> PAGEREF _Toc508894706 \h </w:instrText>
      </w:r>
      <w:r>
        <w:rPr>
          <w:noProof/>
          <w:webHidden/>
        </w:rPr>
      </w:r>
      <w:r>
        <w:rPr>
          <w:noProof/>
          <w:webHidden/>
        </w:rPr>
        <w:fldChar w:fldCharType="separate"/>
      </w:r>
      <w:r w:rsidR="00E16E42">
        <w:rPr>
          <w:noProof/>
          <w:webHidden/>
        </w:rPr>
        <w:t>11</w:t>
      </w:r>
      <w:r>
        <w:rPr>
          <w:noProof/>
          <w:webHidden/>
        </w:rPr>
        <w:fldChar w:fldCharType="end"/>
      </w:r>
    </w:p>
    <w:p w14:paraId="2B0D810E" w14:textId="357C7CCD" w:rsidR="00EE073E" w:rsidRDefault="00EE073E">
      <w:pPr>
        <w:pStyle w:val="TOC1"/>
        <w:rPr>
          <w:rFonts w:asciiTheme="minorHAnsi" w:eastAsiaTheme="minorEastAsia" w:hAnsiTheme="minorHAnsi"/>
          <w:noProof/>
          <w:kern w:val="0"/>
          <w:sz w:val="22"/>
          <w:szCs w:val="22"/>
        </w:rPr>
      </w:pPr>
      <w:r>
        <w:rPr>
          <w:noProof/>
        </w:rPr>
        <w:t>6.</w:t>
      </w:r>
      <w:r>
        <w:rPr>
          <w:rFonts w:asciiTheme="minorHAnsi" w:eastAsiaTheme="minorEastAsia" w:hAnsiTheme="minorHAnsi"/>
          <w:noProof/>
          <w:kern w:val="0"/>
          <w:sz w:val="22"/>
          <w:szCs w:val="22"/>
        </w:rPr>
        <w:tab/>
      </w:r>
      <w:r>
        <w:rPr>
          <w:noProof/>
        </w:rPr>
        <w:t>System Implementation Process</w:t>
      </w:r>
      <w:r>
        <w:rPr>
          <w:noProof/>
          <w:webHidden/>
        </w:rPr>
        <w:tab/>
      </w:r>
      <w:r>
        <w:rPr>
          <w:noProof/>
          <w:webHidden/>
        </w:rPr>
        <w:fldChar w:fldCharType="begin"/>
      </w:r>
      <w:r>
        <w:rPr>
          <w:noProof/>
          <w:webHidden/>
        </w:rPr>
        <w:instrText xml:space="preserve"> PAGEREF _Toc508894707 \h </w:instrText>
      </w:r>
      <w:r>
        <w:rPr>
          <w:noProof/>
          <w:webHidden/>
        </w:rPr>
      </w:r>
      <w:r>
        <w:rPr>
          <w:noProof/>
          <w:webHidden/>
        </w:rPr>
        <w:fldChar w:fldCharType="separate"/>
      </w:r>
      <w:r w:rsidR="00E16E42">
        <w:rPr>
          <w:noProof/>
          <w:webHidden/>
        </w:rPr>
        <w:t>12</w:t>
      </w:r>
      <w:r>
        <w:rPr>
          <w:noProof/>
          <w:webHidden/>
        </w:rPr>
        <w:fldChar w:fldCharType="end"/>
      </w:r>
    </w:p>
    <w:p w14:paraId="401CB780" w14:textId="593053C5" w:rsidR="00EE073E" w:rsidRDefault="00EE073E">
      <w:pPr>
        <w:pStyle w:val="TOC2"/>
        <w:tabs>
          <w:tab w:val="left" w:pos="1134"/>
        </w:tabs>
        <w:rPr>
          <w:rFonts w:eastAsiaTheme="minorEastAsia"/>
          <w:noProof/>
          <w:kern w:val="0"/>
          <w:sz w:val="22"/>
          <w:szCs w:val="22"/>
        </w:rPr>
      </w:pPr>
      <w:r>
        <w:rPr>
          <w:noProof/>
        </w:rPr>
        <w:t>6.1</w:t>
      </w:r>
      <w:r>
        <w:rPr>
          <w:rFonts w:eastAsiaTheme="minorEastAsia"/>
          <w:noProof/>
          <w:kern w:val="0"/>
          <w:sz w:val="22"/>
          <w:szCs w:val="22"/>
        </w:rPr>
        <w:tab/>
      </w:r>
      <w:r>
        <w:rPr>
          <w:noProof/>
        </w:rPr>
        <w:t>Implementation Steps</w:t>
      </w:r>
      <w:r>
        <w:rPr>
          <w:noProof/>
          <w:webHidden/>
        </w:rPr>
        <w:tab/>
      </w:r>
      <w:r>
        <w:rPr>
          <w:noProof/>
          <w:webHidden/>
        </w:rPr>
        <w:fldChar w:fldCharType="begin"/>
      </w:r>
      <w:r>
        <w:rPr>
          <w:noProof/>
          <w:webHidden/>
        </w:rPr>
        <w:instrText xml:space="preserve"> PAGEREF _Toc508894708 \h </w:instrText>
      </w:r>
      <w:r>
        <w:rPr>
          <w:noProof/>
          <w:webHidden/>
        </w:rPr>
      </w:r>
      <w:r>
        <w:rPr>
          <w:noProof/>
          <w:webHidden/>
        </w:rPr>
        <w:fldChar w:fldCharType="separate"/>
      </w:r>
      <w:r w:rsidR="00E16E42">
        <w:rPr>
          <w:noProof/>
          <w:webHidden/>
        </w:rPr>
        <w:t>12</w:t>
      </w:r>
      <w:r>
        <w:rPr>
          <w:noProof/>
          <w:webHidden/>
        </w:rPr>
        <w:fldChar w:fldCharType="end"/>
      </w:r>
    </w:p>
    <w:p w14:paraId="28B872EE" w14:textId="693FA27F" w:rsidR="00EE073E" w:rsidRDefault="00EE073E">
      <w:pPr>
        <w:pStyle w:val="TOC2"/>
        <w:tabs>
          <w:tab w:val="left" w:pos="1134"/>
        </w:tabs>
        <w:rPr>
          <w:rFonts w:eastAsiaTheme="minorEastAsia"/>
          <w:noProof/>
          <w:kern w:val="0"/>
          <w:sz w:val="22"/>
          <w:szCs w:val="22"/>
        </w:rPr>
      </w:pPr>
      <w:r>
        <w:rPr>
          <w:noProof/>
        </w:rPr>
        <w:t>6.2</w:t>
      </w:r>
      <w:r>
        <w:rPr>
          <w:rFonts w:eastAsiaTheme="minorEastAsia"/>
          <w:noProof/>
          <w:kern w:val="0"/>
          <w:sz w:val="22"/>
          <w:szCs w:val="22"/>
        </w:rPr>
        <w:tab/>
      </w:r>
      <w:r>
        <w:rPr>
          <w:noProof/>
        </w:rPr>
        <w:t>Procurement Methods and Process</w:t>
      </w:r>
      <w:r>
        <w:rPr>
          <w:noProof/>
          <w:webHidden/>
        </w:rPr>
        <w:tab/>
      </w:r>
      <w:r>
        <w:rPr>
          <w:noProof/>
          <w:webHidden/>
        </w:rPr>
        <w:fldChar w:fldCharType="begin"/>
      </w:r>
      <w:r>
        <w:rPr>
          <w:noProof/>
          <w:webHidden/>
        </w:rPr>
        <w:instrText xml:space="preserve"> PAGEREF _Toc508894709 \h </w:instrText>
      </w:r>
      <w:r>
        <w:rPr>
          <w:noProof/>
          <w:webHidden/>
        </w:rPr>
      </w:r>
      <w:r>
        <w:rPr>
          <w:noProof/>
          <w:webHidden/>
        </w:rPr>
        <w:fldChar w:fldCharType="separate"/>
      </w:r>
      <w:r w:rsidR="00E16E42">
        <w:rPr>
          <w:noProof/>
          <w:webHidden/>
        </w:rPr>
        <w:t>12</w:t>
      </w:r>
      <w:r>
        <w:rPr>
          <w:noProof/>
          <w:webHidden/>
        </w:rPr>
        <w:fldChar w:fldCharType="end"/>
      </w:r>
    </w:p>
    <w:p w14:paraId="471DEE99" w14:textId="308E8B86" w:rsidR="00EE073E" w:rsidRDefault="00EE073E">
      <w:pPr>
        <w:pStyle w:val="TOC2"/>
        <w:tabs>
          <w:tab w:val="left" w:pos="1134"/>
        </w:tabs>
        <w:rPr>
          <w:rFonts w:eastAsiaTheme="minorEastAsia"/>
          <w:noProof/>
          <w:kern w:val="0"/>
          <w:sz w:val="22"/>
          <w:szCs w:val="22"/>
        </w:rPr>
      </w:pPr>
      <w:r>
        <w:rPr>
          <w:noProof/>
        </w:rPr>
        <w:t>6.3</w:t>
      </w:r>
      <w:r>
        <w:rPr>
          <w:rFonts w:eastAsiaTheme="minorEastAsia"/>
          <w:noProof/>
          <w:kern w:val="0"/>
          <w:sz w:val="22"/>
          <w:szCs w:val="22"/>
        </w:rPr>
        <w:tab/>
      </w:r>
      <w:r>
        <w:rPr>
          <w:noProof/>
        </w:rPr>
        <w:t>Procurement Documents</w:t>
      </w:r>
      <w:r>
        <w:rPr>
          <w:noProof/>
          <w:webHidden/>
        </w:rPr>
        <w:tab/>
      </w:r>
      <w:r>
        <w:rPr>
          <w:noProof/>
          <w:webHidden/>
        </w:rPr>
        <w:fldChar w:fldCharType="begin"/>
      </w:r>
      <w:r>
        <w:rPr>
          <w:noProof/>
          <w:webHidden/>
        </w:rPr>
        <w:instrText xml:space="preserve"> PAGEREF _Toc508894710 \h </w:instrText>
      </w:r>
      <w:r>
        <w:rPr>
          <w:noProof/>
          <w:webHidden/>
        </w:rPr>
      </w:r>
      <w:r>
        <w:rPr>
          <w:noProof/>
          <w:webHidden/>
        </w:rPr>
        <w:fldChar w:fldCharType="separate"/>
      </w:r>
      <w:r w:rsidR="00E16E42">
        <w:rPr>
          <w:noProof/>
          <w:webHidden/>
        </w:rPr>
        <w:t>13</w:t>
      </w:r>
      <w:r>
        <w:rPr>
          <w:noProof/>
          <w:webHidden/>
        </w:rPr>
        <w:fldChar w:fldCharType="end"/>
      </w:r>
    </w:p>
    <w:p w14:paraId="62575120" w14:textId="67E1BC6C" w:rsidR="00EE073E" w:rsidRDefault="00EE073E">
      <w:pPr>
        <w:pStyle w:val="TOC1"/>
        <w:rPr>
          <w:rFonts w:asciiTheme="minorHAnsi" w:eastAsiaTheme="minorEastAsia" w:hAnsiTheme="minorHAnsi"/>
          <w:noProof/>
          <w:kern w:val="0"/>
          <w:sz w:val="22"/>
          <w:szCs w:val="22"/>
        </w:rPr>
      </w:pPr>
      <w:r>
        <w:rPr>
          <w:noProof/>
        </w:rPr>
        <w:t>7.</w:t>
      </w:r>
      <w:r>
        <w:rPr>
          <w:rFonts w:asciiTheme="minorHAnsi" w:eastAsiaTheme="minorEastAsia" w:hAnsiTheme="minorHAnsi"/>
          <w:noProof/>
          <w:kern w:val="0"/>
          <w:sz w:val="22"/>
          <w:szCs w:val="22"/>
        </w:rPr>
        <w:tab/>
      </w:r>
      <w:r>
        <w:rPr>
          <w:noProof/>
        </w:rPr>
        <w:t>System Benefits and Costs</w:t>
      </w:r>
      <w:r>
        <w:rPr>
          <w:noProof/>
          <w:webHidden/>
        </w:rPr>
        <w:tab/>
      </w:r>
      <w:r>
        <w:rPr>
          <w:noProof/>
          <w:webHidden/>
        </w:rPr>
        <w:fldChar w:fldCharType="begin"/>
      </w:r>
      <w:r>
        <w:rPr>
          <w:noProof/>
          <w:webHidden/>
        </w:rPr>
        <w:instrText xml:space="preserve"> PAGEREF _Toc508894711 \h </w:instrText>
      </w:r>
      <w:r>
        <w:rPr>
          <w:noProof/>
          <w:webHidden/>
        </w:rPr>
      </w:r>
      <w:r>
        <w:rPr>
          <w:noProof/>
          <w:webHidden/>
        </w:rPr>
        <w:fldChar w:fldCharType="separate"/>
      </w:r>
      <w:r w:rsidR="00E16E42">
        <w:rPr>
          <w:noProof/>
          <w:webHidden/>
        </w:rPr>
        <w:t>14</w:t>
      </w:r>
      <w:r>
        <w:rPr>
          <w:noProof/>
          <w:webHidden/>
        </w:rPr>
        <w:fldChar w:fldCharType="end"/>
      </w:r>
    </w:p>
    <w:p w14:paraId="4AD027E5" w14:textId="42676FA4" w:rsidR="00EE073E" w:rsidRDefault="00EE073E">
      <w:pPr>
        <w:pStyle w:val="TOC2"/>
        <w:tabs>
          <w:tab w:val="left" w:pos="1134"/>
        </w:tabs>
        <w:rPr>
          <w:rFonts w:eastAsiaTheme="minorEastAsia"/>
          <w:noProof/>
          <w:kern w:val="0"/>
          <w:sz w:val="22"/>
          <w:szCs w:val="22"/>
        </w:rPr>
      </w:pPr>
      <w:r>
        <w:rPr>
          <w:noProof/>
        </w:rPr>
        <w:t>7.1</w:t>
      </w:r>
      <w:r>
        <w:rPr>
          <w:rFonts w:eastAsiaTheme="minorEastAsia"/>
          <w:noProof/>
          <w:kern w:val="0"/>
          <w:sz w:val="22"/>
          <w:szCs w:val="22"/>
        </w:rPr>
        <w:tab/>
      </w:r>
      <w:r>
        <w:rPr>
          <w:noProof/>
        </w:rPr>
        <w:t>Implementation Costs</w:t>
      </w:r>
      <w:r>
        <w:rPr>
          <w:noProof/>
          <w:webHidden/>
        </w:rPr>
        <w:tab/>
      </w:r>
      <w:r>
        <w:rPr>
          <w:noProof/>
          <w:webHidden/>
        </w:rPr>
        <w:fldChar w:fldCharType="begin"/>
      </w:r>
      <w:r>
        <w:rPr>
          <w:noProof/>
          <w:webHidden/>
        </w:rPr>
        <w:instrText xml:space="preserve"> PAGEREF _Toc508894712 \h </w:instrText>
      </w:r>
      <w:r>
        <w:rPr>
          <w:noProof/>
          <w:webHidden/>
        </w:rPr>
      </w:r>
      <w:r>
        <w:rPr>
          <w:noProof/>
          <w:webHidden/>
        </w:rPr>
        <w:fldChar w:fldCharType="separate"/>
      </w:r>
      <w:r w:rsidR="00E16E42">
        <w:rPr>
          <w:noProof/>
          <w:webHidden/>
        </w:rPr>
        <w:t>14</w:t>
      </w:r>
      <w:r>
        <w:rPr>
          <w:noProof/>
          <w:webHidden/>
        </w:rPr>
        <w:fldChar w:fldCharType="end"/>
      </w:r>
    </w:p>
    <w:p w14:paraId="2E974BEB" w14:textId="55D068C5" w:rsidR="00EE073E" w:rsidRDefault="00EE073E">
      <w:pPr>
        <w:pStyle w:val="TOC2"/>
        <w:tabs>
          <w:tab w:val="left" w:pos="1134"/>
        </w:tabs>
        <w:rPr>
          <w:rFonts w:eastAsiaTheme="minorEastAsia"/>
          <w:noProof/>
          <w:kern w:val="0"/>
          <w:sz w:val="22"/>
          <w:szCs w:val="22"/>
        </w:rPr>
      </w:pPr>
      <w:r>
        <w:rPr>
          <w:noProof/>
        </w:rPr>
        <w:t>7.2</w:t>
      </w:r>
      <w:r>
        <w:rPr>
          <w:rFonts w:eastAsiaTheme="minorEastAsia"/>
          <w:noProof/>
          <w:kern w:val="0"/>
          <w:sz w:val="22"/>
          <w:szCs w:val="22"/>
        </w:rPr>
        <w:tab/>
      </w:r>
      <w:r>
        <w:rPr>
          <w:noProof/>
        </w:rPr>
        <w:t>Costs for operations and maintenance</w:t>
      </w:r>
      <w:r>
        <w:rPr>
          <w:noProof/>
          <w:webHidden/>
        </w:rPr>
        <w:tab/>
      </w:r>
      <w:r>
        <w:rPr>
          <w:noProof/>
          <w:webHidden/>
        </w:rPr>
        <w:fldChar w:fldCharType="begin"/>
      </w:r>
      <w:r>
        <w:rPr>
          <w:noProof/>
          <w:webHidden/>
        </w:rPr>
        <w:instrText xml:space="preserve"> PAGEREF _Toc508894713 \h </w:instrText>
      </w:r>
      <w:r>
        <w:rPr>
          <w:noProof/>
          <w:webHidden/>
        </w:rPr>
      </w:r>
      <w:r>
        <w:rPr>
          <w:noProof/>
          <w:webHidden/>
        </w:rPr>
        <w:fldChar w:fldCharType="separate"/>
      </w:r>
      <w:r w:rsidR="00E16E42">
        <w:rPr>
          <w:noProof/>
          <w:webHidden/>
        </w:rPr>
        <w:t>14</w:t>
      </w:r>
      <w:r>
        <w:rPr>
          <w:noProof/>
          <w:webHidden/>
        </w:rPr>
        <w:fldChar w:fldCharType="end"/>
      </w:r>
    </w:p>
    <w:p w14:paraId="7D483409" w14:textId="17E51F63" w:rsidR="00EE073E" w:rsidRDefault="00EE073E">
      <w:pPr>
        <w:pStyle w:val="TOC2"/>
        <w:tabs>
          <w:tab w:val="left" w:pos="1134"/>
        </w:tabs>
        <w:rPr>
          <w:rFonts w:eastAsiaTheme="minorEastAsia"/>
          <w:noProof/>
          <w:kern w:val="0"/>
          <w:sz w:val="22"/>
          <w:szCs w:val="22"/>
        </w:rPr>
      </w:pPr>
      <w:r>
        <w:rPr>
          <w:noProof/>
        </w:rPr>
        <w:t>7.3</w:t>
      </w:r>
      <w:r>
        <w:rPr>
          <w:rFonts w:eastAsiaTheme="minorEastAsia"/>
          <w:noProof/>
          <w:kern w:val="0"/>
          <w:sz w:val="22"/>
          <w:szCs w:val="22"/>
        </w:rPr>
        <w:tab/>
      </w:r>
      <w:r>
        <w:rPr>
          <w:noProof/>
        </w:rPr>
        <w:t>Benefits</w:t>
      </w:r>
      <w:r>
        <w:rPr>
          <w:noProof/>
          <w:webHidden/>
        </w:rPr>
        <w:tab/>
      </w:r>
      <w:r>
        <w:rPr>
          <w:noProof/>
          <w:webHidden/>
        </w:rPr>
        <w:fldChar w:fldCharType="begin"/>
      </w:r>
      <w:r>
        <w:rPr>
          <w:noProof/>
          <w:webHidden/>
        </w:rPr>
        <w:instrText xml:space="preserve"> PAGEREF _Toc508894714 \h </w:instrText>
      </w:r>
      <w:r>
        <w:rPr>
          <w:noProof/>
          <w:webHidden/>
        </w:rPr>
      </w:r>
      <w:r>
        <w:rPr>
          <w:noProof/>
          <w:webHidden/>
        </w:rPr>
        <w:fldChar w:fldCharType="separate"/>
      </w:r>
      <w:r w:rsidR="00E16E42">
        <w:rPr>
          <w:noProof/>
          <w:webHidden/>
        </w:rPr>
        <w:t>14</w:t>
      </w:r>
      <w:r>
        <w:rPr>
          <w:noProof/>
          <w:webHidden/>
        </w:rPr>
        <w:fldChar w:fldCharType="end"/>
      </w:r>
    </w:p>
    <w:p w14:paraId="560129EA" w14:textId="1A6FEC5B" w:rsidR="00EE073E" w:rsidRDefault="00EE073E">
      <w:pPr>
        <w:pStyle w:val="TOC1"/>
        <w:rPr>
          <w:rFonts w:asciiTheme="minorHAnsi" w:eastAsiaTheme="minorEastAsia" w:hAnsiTheme="minorHAnsi"/>
          <w:noProof/>
          <w:kern w:val="0"/>
          <w:sz w:val="22"/>
          <w:szCs w:val="22"/>
        </w:rPr>
      </w:pPr>
      <w:r>
        <w:rPr>
          <w:noProof/>
        </w:rPr>
        <w:t>8.</w:t>
      </w:r>
      <w:r>
        <w:rPr>
          <w:rFonts w:asciiTheme="minorHAnsi" w:eastAsiaTheme="minorEastAsia" w:hAnsiTheme="minorHAnsi"/>
          <w:noProof/>
          <w:kern w:val="0"/>
          <w:sz w:val="22"/>
          <w:szCs w:val="22"/>
        </w:rPr>
        <w:tab/>
      </w:r>
      <w:r>
        <w:rPr>
          <w:noProof/>
        </w:rPr>
        <w:t>System Issues and Challenges</w:t>
      </w:r>
      <w:r>
        <w:rPr>
          <w:noProof/>
          <w:webHidden/>
        </w:rPr>
        <w:tab/>
      </w:r>
      <w:r>
        <w:rPr>
          <w:noProof/>
          <w:webHidden/>
        </w:rPr>
        <w:fldChar w:fldCharType="begin"/>
      </w:r>
      <w:r>
        <w:rPr>
          <w:noProof/>
          <w:webHidden/>
        </w:rPr>
        <w:instrText xml:space="preserve"> PAGEREF _Toc508894715 \h </w:instrText>
      </w:r>
      <w:r>
        <w:rPr>
          <w:noProof/>
          <w:webHidden/>
        </w:rPr>
      </w:r>
      <w:r>
        <w:rPr>
          <w:noProof/>
          <w:webHidden/>
        </w:rPr>
        <w:fldChar w:fldCharType="separate"/>
      </w:r>
      <w:r w:rsidR="00E16E42">
        <w:rPr>
          <w:noProof/>
          <w:webHidden/>
        </w:rPr>
        <w:t>16</w:t>
      </w:r>
      <w:r>
        <w:rPr>
          <w:noProof/>
          <w:webHidden/>
        </w:rPr>
        <w:fldChar w:fldCharType="end"/>
      </w:r>
    </w:p>
    <w:p w14:paraId="05B1DE63" w14:textId="583EADA4" w:rsidR="00EE073E" w:rsidRDefault="00EE073E">
      <w:pPr>
        <w:pStyle w:val="TOC2"/>
        <w:tabs>
          <w:tab w:val="left" w:pos="1134"/>
        </w:tabs>
        <w:rPr>
          <w:rFonts w:eastAsiaTheme="minorEastAsia"/>
          <w:noProof/>
          <w:kern w:val="0"/>
          <w:sz w:val="22"/>
          <w:szCs w:val="22"/>
        </w:rPr>
      </w:pPr>
      <w:r>
        <w:rPr>
          <w:noProof/>
        </w:rPr>
        <w:t>8.1</w:t>
      </w:r>
      <w:r>
        <w:rPr>
          <w:rFonts w:eastAsiaTheme="minorEastAsia"/>
          <w:noProof/>
          <w:kern w:val="0"/>
          <w:sz w:val="22"/>
          <w:szCs w:val="22"/>
        </w:rPr>
        <w:tab/>
      </w:r>
      <w:r>
        <w:rPr>
          <w:noProof/>
        </w:rPr>
        <w:t>Institutional Issues</w:t>
      </w:r>
      <w:r>
        <w:rPr>
          <w:noProof/>
          <w:webHidden/>
        </w:rPr>
        <w:tab/>
      </w:r>
      <w:r>
        <w:rPr>
          <w:noProof/>
          <w:webHidden/>
        </w:rPr>
        <w:fldChar w:fldCharType="begin"/>
      </w:r>
      <w:r>
        <w:rPr>
          <w:noProof/>
          <w:webHidden/>
        </w:rPr>
        <w:instrText xml:space="preserve"> PAGEREF _Toc508894716 \h </w:instrText>
      </w:r>
      <w:r>
        <w:rPr>
          <w:noProof/>
          <w:webHidden/>
        </w:rPr>
      </w:r>
      <w:r>
        <w:rPr>
          <w:noProof/>
          <w:webHidden/>
        </w:rPr>
        <w:fldChar w:fldCharType="separate"/>
      </w:r>
      <w:r w:rsidR="00E16E42">
        <w:rPr>
          <w:noProof/>
          <w:webHidden/>
        </w:rPr>
        <w:t>16</w:t>
      </w:r>
      <w:r>
        <w:rPr>
          <w:noProof/>
          <w:webHidden/>
        </w:rPr>
        <w:fldChar w:fldCharType="end"/>
      </w:r>
    </w:p>
    <w:p w14:paraId="13AD306B" w14:textId="298CF4A1" w:rsidR="00EE073E" w:rsidRDefault="00EE073E">
      <w:pPr>
        <w:pStyle w:val="TOC2"/>
        <w:tabs>
          <w:tab w:val="left" w:pos="1134"/>
        </w:tabs>
        <w:rPr>
          <w:rFonts w:eastAsiaTheme="minorEastAsia"/>
          <w:noProof/>
          <w:kern w:val="0"/>
          <w:sz w:val="22"/>
          <w:szCs w:val="22"/>
        </w:rPr>
      </w:pPr>
      <w:r>
        <w:rPr>
          <w:noProof/>
        </w:rPr>
        <w:t>8.2</w:t>
      </w:r>
      <w:r>
        <w:rPr>
          <w:rFonts w:eastAsiaTheme="minorEastAsia"/>
          <w:noProof/>
          <w:kern w:val="0"/>
          <w:sz w:val="22"/>
          <w:szCs w:val="22"/>
        </w:rPr>
        <w:tab/>
      </w:r>
      <w:r>
        <w:rPr>
          <w:noProof/>
        </w:rPr>
        <w:t>Technology Issues</w:t>
      </w:r>
      <w:r>
        <w:rPr>
          <w:noProof/>
          <w:webHidden/>
        </w:rPr>
        <w:tab/>
      </w:r>
      <w:r>
        <w:rPr>
          <w:noProof/>
          <w:webHidden/>
        </w:rPr>
        <w:fldChar w:fldCharType="begin"/>
      </w:r>
      <w:r>
        <w:rPr>
          <w:noProof/>
          <w:webHidden/>
        </w:rPr>
        <w:instrText xml:space="preserve"> PAGEREF _Toc508894717 \h </w:instrText>
      </w:r>
      <w:r>
        <w:rPr>
          <w:noProof/>
          <w:webHidden/>
        </w:rPr>
      </w:r>
      <w:r>
        <w:rPr>
          <w:noProof/>
          <w:webHidden/>
        </w:rPr>
        <w:fldChar w:fldCharType="separate"/>
      </w:r>
      <w:r w:rsidR="00E16E42">
        <w:rPr>
          <w:noProof/>
          <w:webHidden/>
        </w:rPr>
        <w:t>16</w:t>
      </w:r>
      <w:r>
        <w:rPr>
          <w:noProof/>
          <w:webHidden/>
        </w:rPr>
        <w:fldChar w:fldCharType="end"/>
      </w:r>
    </w:p>
    <w:p w14:paraId="7627320A" w14:textId="2D4372EB" w:rsidR="00EE073E" w:rsidRDefault="00EE073E">
      <w:pPr>
        <w:pStyle w:val="TOC2"/>
        <w:tabs>
          <w:tab w:val="left" w:pos="1134"/>
        </w:tabs>
        <w:rPr>
          <w:rFonts w:eastAsiaTheme="minorEastAsia"/>
          <w:noProof/>
          <w:kern w:val="0"/>
          <w:sz w:val="22"/>
          <w:szCs w:val="22"/>
        </w:rPr>
      </w:pPr>
      <w:r>
        <w:rPr>
          <w:noProof/>
        </w:rPr>
        <w:t>8.3</w:t>
      </w:r>
      <w:r>
        <w:rPr>
          <w:rFonts w:eastAsiaTheme="minorEastAsia"/>
          <w:noProof/>
          <w:kern w:val="0"/>
          <w:sz w:val="22"/>
          <w:szCs w:val="22"/>
        </w:rPr>
        <w:tab/>
      </w:r>
      <w:r>
        <w:rPr>
          <w:noProof/>
        </w:rPr>
        <w:t>Procurement and Implementation Issues</w:t>
      </w:r>
      <w:r>
        <w:rPr>
          <w:noProof/>
          <w:webHidden/>
        </w:rPr>
        <w:tab/>
      </w:r>
      <w:r>
        <w:rPr>
          <w:noProof/>
          <w:webHidden/>
        </w:rPr>
        <w:fldChar w:fldCharType="begin"/>
      </w:r>
      <w:r>
        <w:rPr>
          <w:noProof/>
          <w:webHidden/>
        </w:rPr>
        <w:instrText xml:space="preserve"> PAGEREF _Toc508894718 \h </w:instrText>
      </w:r>
      <w:r>
        <w:rPr>
          <w:noProof/>
          <w:webHidden/>
        </w:rPr>
      </w:r>
      <w:r>
        <w:rPr>
          <w:noProof/>
          <w:webHidden/>
        </w:rPr>
        <w:fldChar w:fldCharType="separate"/>
      </w:r>
      <w:r w:rsidR="00E16E42">
        <w:rPr>
          <w:noProof/>
          <w:webHidden/>
        </w:rPr>
        <w:t>16</w:t>
      </w:r>
      <w:r>
        <w:rPr>
          <w:noProof/>
          <w:webHidden/>
        </w:rPr>
        <w:fldChar w:fldCharType="end"/>
      </w:r>
    </w:p>
    <w:p w14:paraId="58B79A2D" w14:textId="7E49F9A7" w:rsidR="00EE073E" w:rsidRDefault="00EE073E">
      <w:pPr>
        <w:pStyle w:val="TOC3"/>
        <w:tabs>
          <w:tab w:val="left" w:pos="1260"/>
        </w:tabs>
        <w:rPr>
          <w:rFonts w:eastAsiaTheme="minorEastAsia"/>
          <w:noProof/>
          <w:kern w:val="0"/>
          <w:sz w:val="22"/>
          <w:szCs w:val="22"/>
        </w:rPr>
      </w:pPr>
      <w:r>
        <w:rPr>
          <w:noProof/>
        </w:rPr>
        <w:t>8.3.1</w:t>
      </w:r>
      <w:r>
        <w:rPr>
          <w:rFonts w:eastAsiaTheme="minorEastAsia"/>
          <w:noProof/>
          <w:kern w:val="0"/>
          <w:sz w:val="22"/>
          <w:szCs w:val="22"/>
        </w:rPr>
        <w:tab/>
      </w:r>
      <w:r>
        <w:rPr>
          <w:noProof/>
        </w:rPr>
        <w:t>Procurement Issues</w:t>
      </w:r>
      <w:r>
        <w:rPr>
          <w:noProof/>
          <w:webHidden/>
        </w:rPr>
        <w:tab/>
      </w:r>
      <w:r>
        <w:rPr>
          <w:noProof/>
          <w:webHidden/>
        </w:rPr>
        <w:fldChar w:fldCharType="begin"/>
      </w:r>
      <w:r>
        <w:rPr>
          <w:noProof/>
          <w:webHidden/>
        </w:rPr>
        <w:instrText xml:space="preserve"> PAGEREF _Toc508894719 \h </w:instrText>
      </w:r>
      <w:r>
        <w:rPr>
          <w:noProof/>
          <w:webHidden/>
        </w:rPr>
      </w:r>
      <w:r>
        <w:rPr>
          <w:noProof/>
          <w:webHidden/>
        </w:rPr>
        <w:fldChar w:fldCharType="separate"/>
      </w:r>
      <w:r w:rsidR="00E16E42">
        <w:rPr>
          <w:noProof/>
          <w:webHidden/>
        </w:rPr>
        <w:t>16</w:t>
      </w:r>
      <w:r>
        <w:rPr>
          <w:noProof/>
          <w:webHidden/>
        </w:rPr>
        <w:fldChar w:fldCharType="end"/>
      </w:r>
    </w:p>
    <w:p w14:paraId="16A28372" w14:textId="2716FF6B" w:rsidR="00EE073E" w:rsidRDefault="00EE073E">
      <w:pPr>
        <w:pStyle w:val="TOC3"/>
        <w:tabs>
          <w:tab w:val="left" w:pos="1260"/>
        </w:tabs>
        <w:rPr>
          <w:rFonts w:eastAsiaTheme="minorEastAsia"/>
          <w:noProof/>
          <w:kern w:val="0"/>
          <w:sz w:val="22"/>
          <w:szCs w:val="22"/>
        </w:rPr>
      </w:pPr>
      <w:r>
        <w:rPr>
          <w:noProof/>
        </w:rPr>
        <w:t>8.3.2</w:t>
      </w:r>
      <w:r>
        <w:rPr>
          <w:rFonts w:eastAsiaTheme="minorEastAsia"/>
          <w:noProof/>
          <w:kern w:val="0"/>
          <w:sz w:val="22"/>
          <w:szCs w:val="22"/>
        </w:rPr>
        <w:tab/>
      </w:r>
      <w:r>
        <w:rPr>
          <w:noProof/>
        </w:rPr>
        <w:t>Implementation Issues</w:t>
      </w:r>
      <w:r>
        <w:rPr>
          <w:noProof/>
          <w:webHidden/>
        </w:rPr>
        <w:tab/>
      </w:r>
      <w:r>
        <w:rPr>
          <w:noProof/>
          <w:webHidden/>
        </w:rPr>
        <w:fldChar w:fldCharType="begin"/>
      </w:r>
      <w:r>
        <w:rPr>
          <w:noProof/>
          <w:webHidden/>
        </w:rPr>
        <w:instrText xml:space="preserve"> PAGEREF _Toc508894720 \h </w:instrText>
      </w:r>
      <w:r>
        <w:rPr>
          <w:noProof/>
          <w:webHidden/>
        </w:rPr>
      </w:r>
      <w:r>
        <w:rPr>
          <w:noProof/>
          <w:webHidden/>
        </w:rPr>
        <w:fldChar w:fldCharType="separate"/>
      </w:r>
      <w:r w:rsidR="00E16E42">
        <w:rPr>
          <w:noProof/>
          <w:webHidden/>
        </w:rPr>
        <w:t>16</w:t>
      </w:r>
      <w:r>
        <w:rPr>
          <w:noProof/>
          <w:webHidden/>
        </w:rPr>
        <w:fldChar w:fldCharType="end"/>
      </w:r>
    </w:p>
    <w:p w14:paraId="739970BF" w14:textId="27A389E6" w:rsidR="00EE073E" w:rsidRDefault="00EE073E">
      <w:pPr>
        <w:pStyle w:val="TOC2"/>
        <w:tabs>
          <w:tab w:val="left" w:pos="1134"/>
        </w:tabs>
        <w:rPr>
          <w:rFonts w:eastAsiaTheme="minorEastAsia"/>
          <w:noProof/>
          <w:kern w:val="0"/>
          <w:sz w:val="22"/>
          <w:szCs w:val="22"/>
        </w:rPr>
      </w:pPr>
      <w:r>
        <w:rPr>
          <w:noProof/>
        </w:rPr>
        <w:t>8.4</w:t>
      </w:r>
      <w:r>
        <w:rPr>
          <w:rFonts w:eastAsiaTheme="minorEastAsia"/>
          <w:noProof/>
          <w:kern w:val="0"/>
          <w:sz w:val="22"/>
          <w:szCs w:val="22"/>
        </w:rPr>
        <w:tab/>
      </w:r>
      <w:r>
        <w:rPr>
          <w:noProof/>
        </w:rPr>
        <w:t>Operations and Maintenance Issues</w:t>
      </w:r>
      <w:r>
        <w:rPr>
          <w:noProof/>
          <w:webHidden/>
        </w:rPr>
        <w:tab/>
      </w:r>
      <w:r>
        <w:rPr>
          <w:noProof/>
          <w:webHidden/>
        </w:rPr>
        <w:fldChar w:fldCharType="begin"/>
      </w:r>
      <w:r>
        <w:rPr>
          <w:noProof/>
          <w:webHidden/>
        </w:rPr>
        <w:instrText xml:space="preserve"> PAGEREF _Toc508894721 \h </w:instrText>
      </w:r>
      <w:r>
        <w:rPr>
          <w:noProof/>
          <w:webHidden/>
        </w:rPr>
      </w:r>
      <w:r>
        <w:rPr>
          <w:noProof/>
          <w:webHidden/>
        </w:rPr>
        <w:fldChar w:fldCharType="separate"/>
      </w:r>
      <w:r w:rsidR="00E16E42">
        <w:rPr>
          <w:noProof/>
          <w:webHidden/>
        </w:rPr>
        <w:t>17</w:t>
      </w:r>
      <w:r>
        <w:rPr>
          <w:noProof/>
          <w:webHidden/>
        </w:rPr>
        <w:fldChar w:fldCharType="end"/>
      </w:r>
    </w:p>
    <w:p w14:paraId="60874266" w14:textId="10ECD440" w:rsidR="00EE073E" w:rsidRDefault="00EE073E">
      <w:pPr>
        <w:pStyle w:val="TOC1"/>
        <w:rPr>
          <w:rFonts w:asciiTheme="minorHAnsi" w:eastAsiaTheme="minorEastAsia" w:hAnsiTheme="minorHAnsi"/>
          <w:noProof/>
          <w:kern w:val="0"/>
          <w:sz w:val="22"/>
          <w:szCs w:val="22"/>
        </w:rPr>
      </w:pPr>
      <w:r>
        <w:rPr>
          <w:noProof/>
        </w:rPr>
        <w:t>9.</w:t>
      </w:r>
      <w:r>
        <w:rPr>
          <w:rFonts w:asciiTheme="minorHAnsi" w:eastAsiaTheme="minorEastAsia" w:hAnsiTheme="minorHAnsi"/>
          <w:noProof/>
          <w:kern w:val="0"/>
          <w:sz w:val="22"/>
          <w:szCs w:val="22"/>
        </w:rPr>
        <w:tab/>
      </w:r>
      <w:r>
        <w:rPr>
          <w:noProof/>
        </w:rPr>
        <w:t>Lessons Learned</w:t>
      </w:r>
      <w:r>
        <w:rPr>
          <w:noProof/>
          <w:webHidden/>
        </w:rPr>
        <w:tab/>
      </w:r>
      <w:r>
        <w:rPr>
          <w:noProof/>
          <w:webHidden/>
        </w:rPr>
        <w:fldChar w:fldCharType="begin"/>
      </w:r>
      <w:r>
        <w:rPr>
          <w:noProof/>
          <w:webHidden/>
        </w:rPr>
        <w:instrText xml:space="preserve"> PAGEREF _Toc508894722 \h </w:instrText>
      </w:r>
      <w:r>
        <w:rPr>
          <w:noProof/>
          <w:webHidden/>
        </w:rPr>
      </w:r>
      <w:r>
        <w:rPr>
          <w:noProof/>
          <w:webHidden/>
        </w:rPr>
        <w:fldChar w:fldCharType="separate"/>
      </w:r>
      <w:r w:rsidR="00E16E42">
        <w:rPr>
          <w:noProof/>
          <w:webHidden/>
        </w:rPr>
        <w:t>17</w:t>
      </w:r>
      <w:r>
        <w:rPr>
          <w:noProof/>
          <w:webHidden/>
        </w:rPr>
        <w:fldChar w:fldCharType="end"/>
      </w:r>
    </w:p>
    <w:p w14:paraId="400B3C5D" w14:textId="10777E74" w:rsidR="00EE073E" w:rsidRDefault="00EE073E">
      <w:pPr>
        <w:pStyle w:val="TOC1"/>
        <w:rPr>
          <w:rFonts w:asciiTheme="minorHAnsi" w:eastAsiaTheme="minorEastAsia" w:hAnsiTheme="minorHAnsi"/>
          <w:noProof/>
          <w:kern w:val="0"/>
          <w:sz w:val="22"/>
          <w:szCs w:val="22"/>
        </w:rPr>
      </w:pPr>
      <w:r>
        <w:rPr>
          <w:noProof/>
        </w:rPr>
        <w:t>Appendix A Survey Response</w:t>
      </w:r>
      <w:r>
        <w:rPr>
          <w:noProof/>
          <w:webHidden/>
        </w:rPr>
        <w:tab/>
      </w:r>
      <w:r>
        <w:rPr>
          <w:noProof/>
          <w:webHidden/>
        </w:rPr>
        <w:fldChar w:fldCharType="begin"/>
      </w:r>
      <w:r>
        <w:rPr>
          <w:noProof/>
          <w:webHidden/>
        </w:rPr>
        <w:instrText xml:space="preserve"> PAGEREF _Toc508894723 \h </w:instrText>
      </w:r>
      <w:r>
        <w:rPr>
          <w:noProof/>
          <w:webHidden/>
        </w:rPr>
      </w:r>
      <w:r>
        <w:rPr>
          <w:noProof/>
          <w:webHidden/>
        </w:rPr>
        <w:fldChar w:fldCharType="separate"/>
      </w:r>
      <w:r w:rsidR="00E16E42">
        <w:rPr>
          <w:noProof/>
          <w:webHidden/>
        </w:rPr>
        <w:t>18</w:t>
      </w:r>
      <w:r>
        <w:rPr>
          <w:noProof/>
          <w:webHidden/>
        </w:rPr>
        <w:fldChar w:fldCharType="end"/>
      </w:r>
    </w:p>
    <w:p w14:paraId="0A17988D" w14:textId="12366306" w:rsidR="00EE073E" w:rsidRDefault="00EE073E">
      <w:pPr>
        <w:pStyle w:val="TOC1"/>
        <w:rPr>
          <w:rFonts w:asciiTheme="minorHAnsi" w:eastAsiaTheme="minorEastAsia" w:hAnsiTheme="minorHAnsi"/>
          <w:noProof/>
          <w:kern w:val="0"/>
          <w:sz w:val="22"/>
          <w:szCs w:val="22"/>
        </w:rPr>
      </w:pPr>
      <w:r>
        <w:rPr>
          <w:noProof/>
        </w:rPr>
        <w:t>Appendix B Excerpts of WisDOT RFP Requirements</w:t>
      </w:r>
      <w:r>
        <w:rPr>
          <w:noProof/>
          <w:webHidden/>
        </w:rPr>
        <w:tab/>
      </w:r>
      <w:r>
        <w:rPr>
          <w:noProof/>
          <w:webHidden/>
        </w:rPr>
        <w:fldChar w:fldCharType="begin"/>
      </w:r>
      <w:r>
        <w:rPr>
          <w:noProof/>
          <w:webHidden/>
        </w:rPr>
        <w:instrText xml:space="preserve"> PAGEREF _Toc508894724 \h </w:instrText>
      </w:r>
      <w:r>
        <w:rPr>
          <w:noProof/>
          <w:webHidden/>
        </w:rPr>
      </w:r>
      <w:r>
        <w:rPr>
          <w:noProof/>
          <w:webHidden/>
        </w:rPr>
        <w:fldChar w:fldCharType="separate"/>
      </w:r>
      <w:r w:rsidR="00E16E42">
        <w:rPr>
          <w:noProof/>
          <w:webHidden/>
        </w:rPr>
        <w:t>22</w:t>
      </w:r>
      <w:r>
        <w:rPr>
          <w:noProof/>
          <w:webHidden/>
        </w:rPr>
        <w:fldChar w:fldCharType="end"/>
      </w:r>
    </w:p>
    <w:p w14:paraId="747564D0" w14:textId="77777777" w:rsidR="003964F2" w:rsidRDefault="003964F2" w:rsidP="003964F2">
      <w:pPr>
        <w:pStyle w:val="BodyText"/>
        <w:rPr>
          <w:noProof/>
        </w:rPr>
      </w:pPr>
      <w:r>
        <w:rPr>
          <w:noProof/>
        </w:rPr>
        <w:fldChar w:fldCharType="end"/>
      </w:r>
    </w:p>
    <w:p w14:paraId="56A9842F" w14:textId="77777777" w:rsidR="00C63FC9" w:rsidRDefault="00C63FC9">
      <w:pPr>
        <w:tabs>
          <w:tab w:val="clear" w:pos="284"/>
        </w:tabs>
        <w:spacing w:line="240" w:lineRule="auto"/>
        <w:rPr>
          <w:rFonts w:asciiTheme="majorHAnsi" w:eastAsiaTheme="majorEastAsia" w:hAnsiTheme="majorHAnsi" w:cstheme="majorBidi"/>
          <w:b/>
          <w:bCs/>
          <w:noProof/>
          <w:color w:val="00B5E2" w:themeColor="accent1"/>
          <w:sz w:val="28"/>
          <w:szCs w:val="28"/>
        </w:rPr>
      </w:pPr>
      <w:bookmarkStart w:id="12" w:name="Text_Figures"/>
      <w:r>
        <w:rPr>
          <w:noProof/>
        </w:rPr>
        <w:br w:type="page"/>
      </w:r>
    </w:p>
    <w:p w14:paraId="4040EC65" w14:textId="77777777" w:rsidR="003964F2" w:rsidRDefault="003964F2" w:rsidP="003964F2">
      <w:pPr>
        <w:pStyle w:val="TOCHeading"/>
        <w:rPr>
          <w:noProof/>
        </w:rPr>
      </w:pPr>
      <w:r>
        <w:rPr>
          <w:noProof/>
        </w:rPr>
        <w:lastRenderedPageBreak/>
        <w:t>Figures</w:t>
      </w:r>
      <w:bookmarkEnd w:id="12"/>
    </w:p>
    <w:p w14:paraId="43FC60C9" w14:textId="77777777" w:rsidR="000B74A0" w:rsidRDefault="003964F2">
      <w:pPr>
        <w:pStyle w:val="TableofFigures"/>
        <w:rPr>
          <w:rFonts w:eastAsiaTheme="minorEastAsia"/>
          <w:noProof/>
          <w:kern w:val="0"/>
          <w:sz w:val="22"/>
          <w:szCs w:val="22"/>
        </w:rPr>
      </w:pPr>
      <w:r>
        <w:rPr>
          <w:noProof/>
        </w:rPr>
        <w:fldChar w:fldCharType="begin"/>
      </w:r>
      <w:r>
        <w:rPr>
          <w:noProof/>
        </w:rPr>
        <w:instrText xml:space="preserve"> TOC \z \c "Figure" </w:instrText>
      </w:r>
      <w:r>
        <w:rPr>
          <w:noProof/>
        </w:rPr>
        <w:fldChar w:fldCharType="separate"/>
      </w:r>
      <w:r w:rsidR="000B74A0">
        <w:rPr>
          <w:noProof/>
        </w:rPr>
        <w:t>Figure 1. Wisconsin DOT Regions and Counties</w:t>
      </w:r>
      <w:r w:rsidR="000B74A0">
        <w:rPr>
          <w:noProof/>
          <w:webHidden/>
        </w:rPr>
        <w:tab/>
      </w:r>
      <w:r w:rsidR="000B74A0">
        <w:rPr>
          <w:noProof/>
          <w:webHidden/>
        </w:rPr>
        <w:fldChar w:fldCharType="begin"/>
      </w:r>
      <w:r w:rsidR="000B74A0">
        <w:rPr>
          <w:noProof/>
          <w:webHidden/>
        </w:rPr>
        <w:instrText xml:space="preserve"> PAGEREF _Toc513818302 \h </w:instrText>
      </w:r>
      <w:r w:rsidR="000B74A0">
        <w:rPr>
          <w:noProof/>
          <w:webHidden/>
        </w:rPr>
      </w:r>
      <w:r w:rsidR="000B74A0">
        <w:rPr>
          <w:noProof/>
          <w:webHidden/>
        </w:rPr>
        <w:fldChar w:fldCharType="separate"/>
      </w:r>
      <w:r w:rsidR="00E16E42">
        <w:rPr>
          <w:noProof/>
          <w:webHidden/>
        </w:rPr>
        <w:t>2</w:t>
      </w:r>
      <w:r w:rsidR="000B74A0">
        <w:rPr>
          <w:noProof/>
          <w:webHidden/>
        </w:rPr>
        <w:fldChar w:fldCharType="end"/>
      </w:r>
    </w:p>
    <w:p w14:paraId="4419D57D" w14:textId="77777777" w:rsidR="000B74A0" w:rsidRDefault="000B74A0">
      <w:pPr>
        <w:pStyle w:val="TableofFigures"/>
        <w:rPr>
          <w:rFonts w:eastAsiaTheme="minorEastAsia"/>
          <w:noProof/>
          <w:kern w:val="0"/>
          <w:sz w:val="22"/>
          <w:szCs w:val="22"/>
        </w:rPr>
      </w:pPr>
      <w:r>
        <w:rPr>
          <w:noProof/>
        </w:rPr>
        <w:t>Figure 2. Location of PreCise AVL/GPS Equipment in Sauk County Vehicle</w:t>
      </w:r>
      <w:r>
        <w:rPr>
          <w:noProof/>
          <w:webHidden/>
        </w:rPr>
        <w:tab/>
      </w:r>
      <w:r>
        <w:rPr>
          <w:noProof/>
          <w:webHidden/>
        </w:rPr>
        <w:fldChar w:fldCharType="begin"/>
      </w:r>
      <w:r>
        <w:rPr>
          <w:noProof/>
          <w:webHidden/>
        </w:rPr>
        <w:instrText xml:space="preserve"> PAGEREF _Toc513818303 \h </w:instrText>
      </w:r>
      <w:r>
        <w:rPr>
          <w:noProof/>
          <w:webHidden/>
        </w:rPr>
      </w:r>
      <w:r>
        <w:rPr>
          <w:noProof/>
          <w:webHidden/>
        </w:rPr>
        <w:fldChar w:fldCharType="separate"/>
      </w:r>
      <w:r w:rsidR="00E16E42">
        <w:rPr>
          <w:noProof/>
          <w:webHidden/>
        </w:rPr>
        <w:t>5</w:t>
      </w:r>
      <w:r>
        <w:rPr>
          <w:noProof/>
          <w:webHidden/>
        </w:rPr>
        <w:fldChar w:fldCharType="end"/>
      </w:r>
    </w:p>
    <w:p w14:paraId="2E1FE76A" w14:textId="77777777" w:rsidR="000B74A0" w:rsidRDefault="000B74A0">
      <w:pPr>
        <w:pStyle w:val="TableofFigures"/>
        <w:rPr>
          <w:rFonts w:eastAsiaTheme="minorEastAsia"/>
          <w:noProof/>
          <w:kern w:val="0"/>
          <w:sz w:val="22"/>
          <w:szCs w:val="22"/>
        </w:rPr>
      </w:pPr>
      <w:r>
        <w:rPr>
          <w:noProof/>
        </w:rPr>
        <w:t>Figure 3. PreCise AVL/GPS System Antennae for Cellular and GPS / Wi-Fi Connection</w:t>
      </w:r>
      <w:r>
        <w:rPr>
          <w:noProof/>
          <w:webHidden/>
        </w:rPr>
        <w:tab/>
      </w:r>
      <w:r>
        <w:rPr>
          <w:noProof/>
          <w:webHidden/>
        </w:rPr>
        <w:fldChar w:fldCharType="begin"/>
      </w:r>
      <w:r>
        <w:rPr>
          <w:noProof/>
          <w:webHidden/>
        </w:rPr>
        <w:instrText xml:space="preserve"> PAGEREF _Toc513818304 \h </w:instrText>
      </w:r>
      <w:r>
        <w:rPr>
          <w:noProof/>
          <w:webHidden/>
        </w:rPr>
      </w:r>
      <w:r>
        <w:rPr>
          <w:noProof/>
          <w:webHidden/>
        </w:rPr>
        <w:fldChar w:fldCharType="separate"/>
      </w:r>
      <w:r w:rsidR="00E16E42">
        <w:rPr>
          <w:noProof/>
          <w:webHidden/>
        </w:rPr>
        <w:t>5</w:t>
      </w:r>
      <w:r>
        <w:rPr>
          <w:noProof/>
          <w:webHidden/>
        </w:rPr>
        <w:fldChar w:fldCharType="end"/>
      </w:r>
    </w:p>
    <w:p w14:paraId="18FDA088" w14:textId="77777777" w:rsidR="000B74A0" w:rsidRDefault="000B74A0">
      <w:pPr>
        <w:pStyle w:val="TableofFigures"/>
        <w:rPr>
          <w:rFonts w:eastAsiaTheme="minorEastAsia"/>
          <w:noProof/>
          <w:kern w:val="0"/>
          <w:sz w:val="22"/>
          <w:szCs w:val="22"/>
        </w:rPr>
      </w:pPr>
      <w:r>
        <w:rPr>
          <w:noProof/>
        </w:rPr>
        <w:t>Figure 4. Sauk County In-Vehicle Equipment Installation</w:t>
      </w:r>
      <w:r>
        <w:rPr>
          <w:noProof/>
          <w:webHidden/>
        </w:rPr>
        <w:tab/>
      </w:r>
      <w:r>
        <w:rPr>
          <w:noProof/>
          <w:webHidden/>
        </w:rPr>
        <w:fldChar w:fldCharType="begin"/>
      </w:r>
      <w:r>
        <w:rPr>
          <w:noProof/>
          <w:webHidden/>
        </w:rPr>
        <w:instrText xml:space="preserve"> PAGEREF _Toc513818305 \h </w:instrText>
      </w:r>
      <w:r>
        <w:rPr>
          <w:noProof/>
          <w:webHidden/>
        </w:rPr>
      </w:r>
      <w:r>
        <w:rPr>
          <w:noProof/>
          <w:webHidden/>
        </w:rPr>
        <w:fldChar w:fldCharType="separate"/>
      </w:r>
      <w:r w:rsidR="00E16E42">
        <w:rPr>
          <w:noProof/>
          <w:webHidden/>
        </w:rPr>
        <w:t>6</w:t>
      </w:r>
      <w:r>
        <w:rPr>
          <w:noProof/>
          <w:webHidden/>
        </w:rPr>
        <w:fldChar w:fldCharType="end"/>
      </w:r>
    </w:p>
    <w:p w14:paraId="55043EC6" w14:textId="77777777" w:rsidR="000B74A0" w:rsidRDefault="000B74A0">
      <w:pPr>
        <w:pStyle w:val="TableofFigures"/>
        <w:rPr>
          <w:rFonts w:eastAsiaTheme="minorEastAsia"/>
          <w:noProof/>
          <w:kern w:val="0"/>
          <w:sz w:val="22"/>
          <w:szCs w:val="22"/>
        </w:rPr>
      </w:pPr>
      <w:r>
        <w:rPr>
          <w:noProof/>
        </w:rPr>
        <w:t>Figure 5. Sauk County Spreader Controller Types (5100 right and 5100EX left)</w:t>
      </w:r>
      <w:r>
        <w:rPr>
          <w:noProof/>
          <w:webHidden/>
        </w:rPr>
        <w:tab/>
      </w:r>
      <w:r>
        <w:rPr>
          <w:noProof/>
          <w:webHidden/>
        </w:rPr>
        <w:fldChar w:fldCharType="begin"/>
      </w:r>
      <w:r>
        <w:rPr>
          <w:noProof/>
          <w:webHidden/>
        </w:rPr>
        <w:instrText xml:space="preserve"> PAGEREF _Toc513818306 \h </w:instrText>
      </w:r>
      <w:r>
        <w:rPr>
          <w:noProof/>
          <w:webHidden/>
        </w:rPr>
      </w:r>
      <w:r>
        <w:rPr>
          <w:noProof/>
          <w:webHidden/>
        </w:rPr>
        <w:fldChar w:fldCharType="separate"/>
      </w:r>
      <w:r w:rsidR="00E16E42">
        <w:rPr>
          <w:noProof/>
          <w:webHidden/>
        </w:rPr>
        <w:t>6</w:t>
      </w:r>
      <w:r>
        <w:rPr>
          <w:noProof/>
          <w:webHidden/>
        </w:rPr>
        <w:fldChar w:fldCharType="end"/>
      </w:r>
    </w:p>
    <w:p w14:paraId="1EE902B4" w14:textId="77777777" w:rsidR="000B74A0" w:rsidRDefault="000B74A0">
      <w:pPr>
        <w:pStyle w:val="TableofFigures"/>
        <w:rPr>
          <w:rFonts w:eastAsiaTheme="minorEastAsia"/>
          <w:noProof/>
          <w:kern w:val="0"/>
          <w:sz w:val="22"/>
          <w:szCs w:val="22"/>
        </w:rPr>
      </w:pPr>
      <w:r>
        <w:rPr>
          <w:noProof/>
        </w:rPr>
        <w:t>Figure 6. Sauk County Force America Temperature Sensors</w:t>
      </w:r>
      <w:r>
        <w:rPr>
          <w:noProof/>
          <w:webHidden/>
        </w:rPr>
        <w:tab/>
      </w:r>
      <w:r>
        <w:rPr>
          <w:noProof/>
          <w:webHidden/>
        </w:rPr>
        <w:fldChar w:fldCharType="begin"/>
      </w:r>
      <w:r>
        <w:rPr>
          <w:noProof/>
          <w:webHidden/>
        </w:rPr>
        <w:instrText xml:space="preserve"> PAGEREF _Toc513818307 \h </w:instrText>
      </w:r>
      <w:r>
        <w:rPr>
          <w:noProof/>
          <w:webHidden/>
        </w:rPr>
      </w:r>
      <w:r>
        <w:rPr>
          <w:noProof/>
          <w:webHidden/>
        </w:rPr>
        <w:fldChar w:fldCharType="separate"/>
      </w:r>
      <w:r w:rsidR="00E16E42">
        <w:rPr>
          <w:noProof/>
          <w:webHidden/>
        </w:rPr>
        <w:t>7</w:t>
      </w:r>
      <w:r>
        <w:rPr>
          <w:noProof/>
          <w:webHidden/>
        </w:rPr>
        <w:fldChar w:fldCharType="end"/>
      </w:r>
    </w:p>
    <w:p w14:paraId="6C1985E2" w14:textId="77777777" w:rsidR="000B74A0" w:rsidRDefault="000B74A0">
      <w:pPr>
        <w:pStyle w:val="TableofFigures"/>
        <w:rPr>
          <w:rFonts w:eastAsiaTheme="minorEastAsia"/>
          <w:noProof/>
          <w:kern w:val="0"/>
          <w:sz w:val="22"/>
          <w:szCs w:val="22"/>
        </w:rPr>
      </w:pPr>
      <w:r>
        <w:rPr>
          <w:noProof/>
        </w:rPr>
        <w:t>Figure 7. WisDOT Snow Plow Hydraulic Sensor Location</w:t>
      </w:r>
      <w:r>
        <w:rPr>
          <w:noProof/>
          <w:webHidden/>
        </w:rPr>
        <w:tab/>
      </w:r>
      <w:r>
        <w:rPr>
          <w:noProof/>
          <w:webHidden/>
        </w:rPr>
        <w:fldChar w:fldCharType="begin"/>
      </w:r>
      <w:r>
        <w:rPr>
          <w:noProof/>
          <w:webHidden/>
        </w:rPr>
        <w:instrText xml:space="preserve"> PAGEREF _Toc513818308 \h </w:instrText>
      </w:r>
      <w:r>
        <w:rPr>
          <w:noProof/>
          <w:webHidden/>
        </w:rPr>
      </w:r>
      <w:r>
        <w:rPr>
          <w:noProof/>
          <w:webHidden/>
        </w:rPr>
        <w:fldChar w:fldCharType="separate"/>
      </w:r>
      <w:r w:rsidR="00E16E42">
        <w:rPr>
          <w:noProof/>
          <w:webHidden/>
        </w:rPr>
        <w:t>7</w:t>
      </w:r>
      <w:r>
        <w:rPr>
          <w:noProof/>
          <w:webHidden/>
        </w:rPr>
        <w:fldChar w:fldCharType="end"/>
      </w:r>
    </w:p>
    <w:p w14:paraId="2A322EC8" w14:textId="77777777" w:rsidR="000B74A0" w:rsidRDefault="000B74A0">
      <w:pPr>
        <w:pStyle w:val="TableofFigures"/>
        <w:rPr>
          <w:rFonts w:eastAsiaTheme="minorEastAsia"/>
          <w:noProof/>
          <w:kern w:val="0"/>
          <w:sz w:val="22"/>
          <w:szCs w:val="22"/>
        </w:rPr>
      </w:pPr>
      <w:r>
        <w:rPr>
          <w:noProof/>
        </w:rPr>
        <w:t>Figure 8. Sauk County Snow Plow Spreader Equipment and Spray Tank</w:t>
      </w:r>
      <w:r>
        <w:rPr>
          <w:noProof/>
          <w:webHidden/>
        </w:rPr>
        <w:tab/>
      </w:r>
      <w:r>
        <w:rPr>
          <w:noProof/>
          <w:webHidden/>
        </w:rPr>
        <w:fldChar w:fldCharType="begin"/>
      </w:r>
      <w:r>
        <w:rPr>
          <w:noProof/>
          <w:webHidden/>
        </w:rPr>
        <w:instrText xml:space="preserve"> PAGEREF _Toc513818309 \h </w:instrText>
      </w:r>
      <w:r>
        <w:rPr>
          <w:noProof/>
          <w:webHidden/>
        </w:rPr>
      </w:r>
      <w:r>
        <w:rPr>
          <w:noProof/>
          <w:webHidden/>
        </w:rPr>
        <w:fldChar w:fldCharType="separate"/>
      </w:r>
      <w:r w:rsidR="00E16E42">
        <w:rPr>
          <w:noProof/>
          <w:webHidden/>
        </w:rPr>
        <w:t>8</w:t>
      </w:r>
      <w:r>
        <w:rPr>
          <w:noProof/>
          <w:webHidden/>
        </w:rPr>
        <w:fldChar w:fldCharType="end"/>
      </w:r>
    </w:p>
    <w:p w14:paraId="2638C669" w14:textId="77777777" w:rsidR="003964F2" w:rsidRDefault="003964F2" w:rsidP="003964F2">
      <w:pPr>
        <w:pStyle w:val="BodyText"/>
        <w:rPr>
          <w:noProof/>
        </w:rPr>
      </w:pPr>
      <w:r>
        <w:rPr>
          <w:noProof/>
        </w:rPr>
        <w:fldChar w:fldCharType="end"/>
      </w:r>
    </w:p>
    <w:p w14:paraId="6B2081A9" w14:textId="77777777" w:rsidR="003964F2" w:rsidRDefault="003964F2" w:rsidP="003964F2">
      <w:pPr>
        <w:pStyle w:val="TOCHeading"/>
        <w:rPr>
          <w:noProof/>
        </w:rPr>
      </w:pPr>
      <w:bookmarkStart w:id="13" w:name="Text_Tables"/>
      <w:r>
        <w:rPr>
          <w:noProof/>
        </w:rPr>
        <w:t>Tables</w:t>
      </w:r>
      <w:bookmarkEnd w:id="13"/>
    </w:p>
    <w:p w14:paraId="09CB83C1" w14:textId="37CAFE9E" w:rsidR="00EE073E" w:rsidRDefault="003964F2">
      <w:pPr>
        <w:pStyle w:val="TableofFigures"/>
        <w:rPr>
          <w:rFonts w:eastAsiaTheme="minorEastAsia"/>
          <w:noProof/>
          <w:kern w:val="0"/>
          <w:sz w:val="22"/>
          <w:szCs w:val="22"/>
        </w:rPr>
      </w:pPr>
      <w:r>
        <w:rPr>
          <w:noProof/>
        </w:rPr>
        <w:fldChar w:fldCharType="begin"/>
      </w:r>
      <w:r>
        <w:rPr>
          <w:noProof/>
        </w:rPr>
        <w:instrText xml:space="preserve"> TOC \z \c "Table" </w:instrText>
      </w:r>
      <w:r>
        <w:rPr>
          <w:noProof/>
        </w:rPr>
        <w:fldChar w:fldCharType="separate"/>
      </w:r>
      <w:r w:rsidR="00EE073E">
        <w:rPr>
          <w:noProof/>
        </w:rPr>
        <w:t>Table 1. Agency Interview Dates / Times</w:t>
      </w:r>
      <w:r w:rsidR="00EE073E">
        <w:rPr>
          <w:noProof/>
          <w:webHidden/>
        </w:rPr>
        <w:tab/>
      </w:r>
      <w:r w:rsidR="00EE073E">
        <w:rPr>
          <w:noProof/>
          <w:webHidden/>
        </w:rPr>
        <w:fldChar w:fldCharType="begin"/>
      </w:r>
      <w:r w:rsidR="00EE073E">
        <w:rPr>
          <w:noProof/>
          <w:webHidden/>
        </w:rPr>
        <w:instrText xml:space="preserve"> PAGEREF _Toc508894734 \h </w:instrText>
      </w:r>
      <w:r w:rsidR="00EE073E">
        <w:rPr>
          <w:noProof/>
          <w:webHidden/>
        </w:rPr>
      </w:r>
      <w:r w:rsidR="00EE073E">
        <w:rPr>
          <w:noProof/>
          <w:webHidden/>
        </w:rPr>
        <w:fldChar w:fldCharType="separate"/>
      </w:r>
      <w:r w:rsidR="00E16E42">
        <w:rPr>
          <w:noProof/>
          <w:webHidden/>
        </w:rPr>
        <w:t>3</w:t>
      </w:r>
      <w:r w:rsidR="00EE073E">
        <w:rPr>
          <w:noProof/>
          <w:webHidden/>
        </w:rPr>
        <w:fldChar w:fldCharType="end"/>
      </w:r>
    </w:p>
    <w:p w14:paraId="5F8A261A" w14:textId="11DC285E" w:rsidR="00EE073E" w:rsidRDefault="00EE073E">
      <w:pPr>
        <w:pStyle w:val="TableofFigures"/>
        <w:rPr>
          <w:rFonts w:eastAsiaTheme="minorEastAsia"/>
          <w:noProof/>
          <w:kern w:val="0"/>
          <w:sz w:val="22"/>
          <w:szCs w:val="22"/>
        </w:rPr>
      </w:pPr>
      <w:r>
        <w:rPr>
          <w:noProof/>
        </w:rPr>
        <w:t>Table 2. Sauk County AVL/GPS System Implementation Costs in 2010</w:t>
      </w:r>
      <w:r>
        <w:rPr>
          <w:noProof/>
          <w:webHidden/>
        </w:rPr>
        <w:tab/>
      </w:r>
      <w:r>
        <w:rPr>
          <w:noProof/>
          <w:webHidden/>
        </w:rPr>
        <w:fldChar w:fldCharType="begin"/>
      </w:r>
      <w:r>
        <w:rPr>
          <w:noProof/>
          <w:webHidden/>
        </w:rPr>
        <w:instrText xml:space="preserve"> PAGEREF _Toc508894735 \h </w:instrText>
      </w:r>
      <w:r>
        <w:rPr>
          <w:noProof/>
          <w:webHidden/>
        </w:rPr>
      </w:r>
      <w:r>
        <w:rPr>
          <w:noProof/>
          <w:webHidden/>
        </w:rPr>
        <w:fldChar w:fldCharType="separate"/>
      </w:r>
      <w:r w:rsidR="00E16E42">
        <w:rPr>
          <w:noProof/>
          <w:webHidden/>
        </w:rPr>
        <w:t>14</w:t>
      </w:r>
      <w:r>
        <w:rPr>
          <w:noProof/>
          <w:webHidden/>
        </w:rPr>
        <w:fldChar w:fldCharType="end"/>
      </w:r>
    </w:p>
    <w:p w14:paraId="51E4ACFA" w14:textId="58A59B6E" w:rsidR="00EE073E" w:rsidRDefault="00EE073E">
      <w:pPr>
        <w:pStyle w:val="TableofFigures"/>
        <w:rPr>
          <w:rFonts w:eastAsiaTheme="minorEastAsia"/>
          <w:noProof/>
          <w:kern w:val="0"/>
          <w:sz w:val="22"/>
          <w:szCs w:val="22"/>
        </w:rPr>
      </w:pPr>
      <w:r>
        <w:rPr>
          <w:noProof/>
        </w:rPr>
        <w:t>Table 3. Sauk County AVL/GPS System Annual Maintenance Costs (2016)</w:t>
      </w:r>
      <w:r>
        <w:rPr>
          <w:noProof/>
          <w:webHidden/>
        </w:rPr>
        <w:tab/>
      </w:r>
      <w:r>
        <w:rPr>
          <w:noProof/>
          <w:webHidden/>
        </w:rPr>
        <w:fldChar w:fldCharType="begin"/>
      </w:r>
      <w:r>
        <w:rPr>
          <w:noProof/>
          <w:webHidden/>
        </w:rPr>
        <w:instrText xml:space="preserve"> PAGEREF _Toc508894736 \h </w:instrText>
      </w:r>
      <w:r>
        <w:rPr>
          <w:noProof/>
          <w:webHidden/>
        </w:rPr>
      </w:r>
      <w:r>
        <w:rPr>
          <w:noProof/>
          <w:webHidden/>
        </w:rPr>
        <w:fldChar w:fldCharType="separate"/>
      </w:r>
      <w:r w:rsidR="00E16E42">
        <w:rPr>
          <w:noProof/>
          <w:webHidden/>
        </w:rPr>
        <w:t>14</w:t>
      </w:r>
      <w:r>
        <w:rPr>
          <w:noProof/>
          <w:webHidden/>
        </w:rPr>
        <w:fldChar w:fldCharType="end"/>
      </w:r>
    </w:p>
    <w:p w14:paraId="6946C908" w14:textId="77777777" w:rsidR="007935AD" w:rsidRDefault="003964F2" w:rsidP="003964F2">
      <w:pPr>
        <w:pStyle w:val="BodyText"/>
        <w:rPr>
          <w:noProof/>
        </w:rPr>
      </w:pPr>
      <w:r>
        <w:rPr>
          <w:noProof/>
        </w:rPr>
        <w:fldChar w:fldCharType="end"/>
      </w:r>
      <w:bookmarkEnd w:id="11"/>
    </w:p>
    <w:p w14:paraId="5B9B2B25" w14:textId="77777777" w:rsidR="007935AD" w:rsidRDefault="007935AD" w:rsidP="000A14DC">
      <w:pPr>
        <w:rPr>
          <w:b/>
          <w:bCs/>
          <w:noProof/>
        </w:rPr>
        <w:sectPr w:rsidR="007935AD" w:rsidSect="00D129EC">
          <w:headerReference w:type="default" r:id="rId10"/>
          <w:footerReference w:type="default" r:id="rId11"/>
          <w:pgSz w:w="12240" w:h="15840" w:code="9"/>
          <w:pgMar w:top="1440" w:right="1440" w:bottom="1440" w:left="1440" w:header="720" w:footer="720" w:gutter="0"/>
          <w:cols w:space="708"/>
          <w:docGrid w:linePitch="360"/>
        </w:sectPr>
      </w:pPr>
    </w:p>
    <w:p w14:paraId="6AD31237" w14:textId="77777777" w:rsidR="003B18BF" w:rsidRDefault="00472BDD" w:rsidP="004422ED">
      <w:pPr>
        <w:pStyle w:val="Heading1"/>
      </w:pPr>
      <w:bookmarkStart w:id="14" w:name="_Toc508894686"/>
      <w:r w:rsidRPr="00472BDD">
        <w:lastRenderedPageBreak/>
        <w:t xml:space="preserve">Overview of </w:t>
      </w:r>
      <w:r w:rsidR="00D129EC">
        <w:t>Wisconsin DOT</w:t>
      </w:r>
      <w:r w:rsidRPr="00472BDD">
        <w:t xml:space="preserve"> Winter Maintenance Operations</w:t>
      </w:r>
      <w:bookmarkEnd w:id="14"/>
    </w:p>
    <w:p w14:paraId="3E6EB7C6" w14:textId="77777777" w:rsidR="00A724EB" w:rsidRPr="003B18BF" w:rsidRDefault="004422ED" w:rsidP="00A724EB">
      <w:pPr>
        <w:pStyle w:val="BodyText"/>
      </w:pPr>
      <w:r>
        <w:t>This section provides an overview of this Case Study report detailing how the Wisconsin Department of Transportation (WisDOT) has implemented Automated Vehicle Locator (AVL) / Global Positioning Systems (GPS) technologies on its winter maintenance vehicles for use in monitoring the operations of snow plow vehicles.</w:t>
      </w:r>
    </w:p>
    <w:p w14:paraId="388D0112" w14:textId="77777777" w:rsidR="00A724EB" w:rsidRDefault="00D129EC" w:rsidP="00A724EB">
      <w:pPr>
        <w:pStyle w:val="Heading2"/>
      </w:pPr>
      <w:bookmarkStart w:id="15" w:name="_Toc508894687"/>
      <w:r>
        <w:t>Case Study</w:t>
      </w:r>
      <w:r w:rsidR="00A724EB">
        <w:t xml:space="preserve"> Background</w:t>
      </w:r>
      <w:bookmarkEnd w:id="15"/>
    </w:p>
    <w:p w14:paraId="146ED6B9" w14:textId="77777777" w:rsidR="00D129EC" w:rsidRDefault="00D129EC" w:rsidP="00D129EC">
      <w:r w:rsidRPr="00F21BC1">
        <w:rPr>
          <w:rFonts w:cstheme="minorHAnsi"/>
        </w:rPr>
        <w:t xml:space="preserve">This research project is being funded through the Clear Roads pooled fund program to develop Case Study Reports documenting how multiple State DOTs have implemented AVL/GPS technologies to support their winter maintenance programs.  </w:t>
      </w:r>
      <w:bookmarkStart w:id="16" w:name="_Hlk500508568"/>
      <w:r>
        <w:t>While the main function of the system is to provide automated vehicle location tracking for dispatchers and maintenance supervisors, AVL/GPS systems can also provide valuable information on vehicle diagnostics to maintenance supervisors.  Furthermore, AVL/GPS systems can be integrated with existing vehicle components used for snow plow operations, such as spreader controllers and plow blades to provide reports to maintenance supervisors on plow usage and material applied by snow plow operators.</w:t>
      </w:r>
    </w:p>
    <w:bookmarkEnd w:id="16"/>
    <w:p w14:paraId="7B30401C" w14:textId="77777777" w:rsidR="00D129EC" w:rsidRPr="00F21BC1" w:rsidRDefault="00D129EC" w:rsidP="00D129EC">
      <w:pPr>
        <w:rPr>
          <w:rFonts w:cstheme="minorHAnsi"/>
        </w:rPr>
      </w:pPr>
    </w:p>
    <w:p w14:paraId="05186843" w14:textId="77777777" w:rsidR="00D129EC" w:rsidRPr="00F21BC1" w:rsidRDefault="00D129EC" w:rsidP="00D129EC">
      <w:pPr>
        <w:rPr>
          <w:rFonts w:cstheme="minorHAnsi"/>
        </w:rPr>
      </w:pPr>
      <w:r w:rsidRPr="00F21BC1">
        <w:rPr>
          <w:rFonts w:cstheme="minorHAnsi"/>
        </w:rPr>
        <w:t xml:space="preserve">The purpose of the Case Study reports </w:t>
      </w:r>
      <w:r>
        <w:rPr>
          <w:rFonts w:cstheme="minorHAnsi"/>
        </w:rPr>
        <w:t>is</w:t>
      </w:r>
      <w:r w:rsidRPr="00F21BC1">
        <w:rPr>
          <w:rFonts w:cstheme="minorHAnsi"/>
        </w:rPr>
        <w:t xml:space="preserve"> to help other state DOTs make more informed decisions with respect to the implementation of </w:t>
      </w:r>
      <w:r>
        <w:rPr>
          <w:rFonts w:cstheme="minorHAnsi"/>
        </w:rPr>
        <w:t>AVL/GPS</w:t>
      </w:r>
      <w:r w:rsidRPr="00F21BC1">
        <w:rPr>
          <w:rFonts w:cstheme="minorHAnsi"/>
        </w:rPr>
        <w:t xml:space="preserve"> technology for winter maintenance activities.  </w:t>
      </w:r>
      <w:r>
        <w:rPr>
          <w:rFonts w:cstheme="minorHAnsi"/>
        </w:rPr>
        <w:t>T</w:t>
      </w:r>
      <w:r w:rsidRPr="00F21BC1">
        <w:rPr>
          <w:rFonts w:cstheme="minorHAnsi"/>
        </w:rPr>
        <w:t xml:space="preserve">he case study report </w:t>
      </w:r>
      <w:r>
        <w:rPr>
          <w:rFonts w:cstheme="minorHAnsi"/>
        </w:rPr>
        <w:t>is intended to</w:t>
      </w:r>
      <w:r w:rsidRPr="00F21BC1">
        <w:rPr>
          <w:rFonts w:cstheme="minorHAnsi"/>
        </w:rPr>
        <w:t xml:space="preserve"> bring to light more nuanced issues related to the use of </w:t>
      </w:r>
      <w:r>
        <w:rPr>
          <w:rFonts w:cstheme="minorHAnsi"/>
        </w:rPr>
        <w:t>AVL/GPS</w:t>
      </w:r>
      <w:r w:rsidRPr="00F21BC1">
        <w:rPr>
          <w:rFonts w:cstheme="minorHAnsi"/>
        </w:rPr>
        <w:t xml:space="preserve"> technology for winter maintenance.  The Case Study report also highlight</w:t>
      </w:r>
      <w:r>
        <w:rPr>
          <w:rFonts w:cstheme="minorHAnsi"/>
        </w:rPr>
        <w:t>s</w:t>
      </w:r>
      <w:r w:rsidRPr="00F21BC1">
        <w:rPr>
          <w:rFonts w:cstheme="minorHAnsi"/>
        </w:rPr>
        <w:t xml:space="preserve"> the types of issues other state DOTs / agencies should consider prior to system procurement, provide</w:t>
      </w:r>
      <w:r>
        <w:rPr>
          <w:rFonts w:cstheme="minorHAnsi"/>
        </w:rPr>
        <w:t>s</w:t>
      </w:r>
      <w:r w:rsidRPr="00F21BC1">
        <w:rPr>
          <w:rFonts w:cstheme="minorHAnsi"/>
        </w:rPr>
        <w:t xml:space="preserve"> guidance for successful implementation of the technology, and serve</w:t>
      </w:r>
      <w:r>
        <w:rPr>
          <w:rFonts w:cstheme="minorHAnsi"/>
        </w:rPr>
        <w:t>s</w:t>
      </w:r>
      <w:r w:rsidRPr="00F21BC1">
        <w:rPr>
          <w:rFonts w:cstheme="minorHAnsi"/>
        </w:rPr>
        <w:t xml:space="preserve"> as a possible template for agencies to get the best value out </w:t>
      </w:r>
      <w:r>
        <w:t xml:space="preserve">of different levels </w:t>
      </w:r>
      <w:r w:rsidRPr="00F21BC1">
        <w:rPr>
          <w:rFonts w:cstheme="minorHAnsi"/>
        </w:rPr>
        <w:t xml:space="preserve">their </w:t>
      </w:r>
      <w:r>
        <w:rPr>
          <w:rFonts w:cstheme="minorHAnsi"/>
        </w:rPr>
        <w:t>AVL/GPS</w:t>
      </w:r>
      <w:r w:rsidRPr="00F21BC1">
        <w:rPr>
          <w:rFonts w:cstheme="minorHAnsi"/>
        </w:rPr>
        <w:t xml:space="preserve"> application</w:t>
      </w:r>
      <w:r>
        <w:rPr>
          <w:rFonts w:cstheme="minorHAnsi"/>
        </w:rPr>
        <w:t>s</w:t>
      </w:r>
      <w:r w:rsidRPr="00F21BC1">
        <w:rPr>
          <w:rFonts w:cstheme="minorHAnsi"/>
        </w:rPr>
        <w:t>.</w:t>
      </w:r>
    </w:p>
    <w:p w14:paraId="14649002" w14:textId="77777777" w:rsidR="00D129EC" w:rsidRPr="00F21BC1" w:rsidRDefault="00D129EC" w:rsidP="00D129EC">
      <w:pPr>
        <w:rPr>
          <w:rFonts w:cstheme="minorHAnsi"/>
        </w:rPr>
      </w:pPr>
    </w:p>
    <w:p w14:paraId="70F56302" w14:textId="77777777" w:rsidR="00D129EC" w:rsidRPr="00F21BC1" w:rsidRDefault="00D129EC" w:rsidP="00D129EC">
      <w:pPr>
        <w:spacing w:line="240" w:lineRule="auto"/>
        <w:rPr>
          <w:rFonts w:cstheme="minorHAnsi"/>
          <w:szCs w:val="20"/>
        </w:rPr>
      </w:pPr>
      <w:r w:rsidRPr="00F21BC1">
        <w:rPr>
          <w:rFonts w:cstheme="minorHAnsi"/>
          <w:szCs w:val="20"/>
        </w:rPr>
        <w:t xml:space="preserve">In the spring of 2017, a survey was distributed to multiple state DOTs to gather basic, high-level information regarding each agency’s level of </w:t>
      </w:r>
      <w:r>
        <w:rPr>
          <w:rFonts w:cstheme="minorHAnsi"/>
          <w:szCs w:val="20"/>
        </w:rPr>
        <w:t>AVL/GPS</w:t>
      </w:r>
      <w:r w:rsidRPr="00F21BC1">
        <w:rPr>
          <w:rFonts w:cstheme="minorHAnsi"/>
          <w:szCs w:val="20"/>
        </w:rPr>
        <w:t xml:space="preserve"> implementation, as well as detailed information on the planning, processes, steps, and results observed by agencies with their respective systems.  Based on the survey responses, agencies were categorized into the following </w:t>
      </w:r>
      <w:r>
        <w:rPr>
          <w:rFonts w:cstheme="minorHAnsi"/>
          <w:szCs w:val="20"/>
        </w:rPr>
        <w:t xml:space="preserve">three </w:t>
      </w:r>
      <w:r w:rsidRPr="00F21BC1">
        <w:rPr>
          <w:rFonts w:cstheme="minorHAnsi"/>
          <w:szCs w:val="20"/>
        </w:rPr>
        <w:t xml:space="preserve">levels of </w:t>
      </w:r>
      <w:r>
        <w:rPr>
          <w:rFonts w:cstheme="minorHAnsi"/>
          <w:szCs w:val="20"/>
        </w:rPr>
        <w:t>AVL/GPS</w:t>
      </w:r>
      <w:r w:rsidRPr="00F21BC1">
        <w:rPr>
          <w:rFonts w:cstheme="minorHAnsi"/>
          <w:szCs w:val="20"/>
        </w:rPr>
        <w:t xml:space="preserve"> implementation:  </w:t>
      </w:r>
    </w:p>
    <w:p w14:paraId="10E42C1B" w14:textId="77777777" w:rsidR="00D129EC" w:rsidRPr="00F21BC1" w:rsidRDefault="00D129EC" w:rsidP="00D129EC">
      <w:pPr>
        <w:spacing w:line="240" w:lineRule="auto"/>
        <w:rPr>
          <w:rFonts w:cstheme="minorHAnsi"/>
          <w:szCs w:val="20"/>
        </w:rPr>
      </w:pPr>
    </w:p>
    <w:p w14:paraId="1C7CBC56" w14:textId="77777777" w:rsidR="00D129EC" w:rsidRPr="00F21BC1" w:rsidRDefault="00D129EC" w:rsidP="00D129EC">
      <w:pPr>
        <w:pStyle w:val="ListBullet"/>
      </w:pPr>
      <w:r w:rsidRPr="00F21BC1">
        <w:t>Tier 1</w:t>
      </w:r>
      <w:r>
        <w:t>:</w:t>
      </w:r>
      <w:r w:rsidRPr="00F21BC1">
        <w:t xml:space="preserve"> Basic Location Tracking/Monitoring</w:t>
      </w:r>
      <w:r>
        <w:t xml:space="preserve"> with or without collection of vehicle diagnostic data</w:t>
      </w:r>
    </w:p>
    <w:p w14:paraId="7851EF61" w14:textId="77777777" w:rsidR="00D129EC" w:rsidRPr="00F21BC1" w:rsidRDefault="00D129EC" w:rsidP="00D129EC">
      <w:pPr>
        <w:pStyle w:val="ListBullet"/>
      </w:pPr>
      <w:r w:rsidRPr="00F21BC1">
        <w:t>Tier 2</w:t>
      </w:r>
      <w:r>
        <w:t>:</w:t>
      </w:r>
      <w:r w:rsidRPr="00F21BC1">
        <w:t xml:space="preserve"> Medium implementation with basic location tracking, </w:t>
      </w:r>
      <w:r>
        <w:t>with limited additional data collection, equipment integration, and system reporting features</w:t>
      </w:r>
      <w:r w:rsidRPr="00F21BC1">
        <w:t xml:space="preserve"> </w:t>
      </w:r>
    </w:p>
    <w:p w14:paraId="7A5948A8" w14:textId="77777777" w:rsidR="00D129EC" w:rsidRPr="00F21BC1" w:rsidRDefault="00D129EC" w:rsidP="00D129EC">
      <w:pPr>
        <w:pStyle w:val="ListBullet"/>
      </w:pPr>
      <w:r w:rsidRPr="00F21BC1">
        <w:t>Tier 3</w:t>
      </w:r>
      <w:r>
        <w:t>:</w:t>
      </w:r>
      <w:r w:rsidRPr="00F21BC1">
        <w:t xml:space="preserve"> High implementation with added</w:t>
      </w:r>
      <w:r>
        <w:t>, more complex</w:t>
      </w:r>
      <w:r w:rsidRPr="00F21BC1">
        <w:t xml:space="preserve"> data collection, integration, and reporting features</w:t>
      </w:r>
    </w:p>
    <w:p w14:paraId="4E454EF0" w14:textId="77777777" w:rsidR="00D129EC" w:rsidRDefault="00D129EC" w:rsidP="00D129EC">
      <w:pPr>
        <w:rPr>
          <w:rFonts w:cstheme="minorHAnsi"/>
          <w:szCs w:val="20"/>
        </w:rPr>
      </w:pPr>
    </w:p>
    <w:p w14:paraId="53F23B68" w14:textId="77777777" w:rsidR="00D129EC" w:rsidRPr="00F21BC1" w:rsidRDefault="00D129EC" w:rsidP="00D129EC">
      <w:pPr>
        <w:rPr>
          <w:rFonts w:cstheme="minorHAnsi"/>
        </w:rPr>
      </w:pPr>
      <w:r w:rsidRPr="00F21BC1">
        <w:rPr>
          <w:rFonts w:cstheme="minorHAnsi"/>
          <w:szCs w:val="20"/>
        </w:rPr>
        <w:t xml:space="preserve">Upon a review of these survey responses, </w:t>
      </w:r>
      <w:r>
        <w:rPr>
          <w:rFonts w:cstheme="minorHAnsi"/>
          <w:szCs w:val="20"/>
        </w:rPr>
        <w:t>six agencies representing various tiers of implementation were selected to more in-depth interviews and for case studies. T</w:t>
      </w:r>
      <w:r w:rsidRPr="00F21BC1">
        <w:rPr>
          <w:rFonts w:cstheme="minorHAnsi"/>
          <w:szCs w:val="20"/>
        </w:rPr>
        <w:t xml:space="preserve">he </w:t>
      </w:r>
      <w:r>
        <w:rPr>
          <w:rFonts w:cstheme="minorHAnsi"/>
          <w:szCs w:val="20"/>
        </w:rPr>
        <w:t>Wis</w:t>
      </w:r>
      <w:r w:rsidRPr="00F21BC1">
        <w:rPr>
          <w:rFonts w:cstheme="minorHAnsi"/>
          <w:szCs w:val="20"/>
        </w:rPr>
        <w:t xml:space="preserve">DOT was categorized into Tier </w:t>
      </w:r>
      <w:r>
        <w:rPr>
          <w:rFonts w:cstheme="minorHAnsi"/>
          <w:szCs w:val="20"/>
        </w:rPr>
        <w:t>3</w:t>
      </w:r>
      <w:r w:rsidRPr="00F21BC1">
        <w:rPr>
          <w:rFonts w:cstheme="minorHAnsi"/>
          <w:szCs w:val="20"/>
        </w:rPr>
        <w:t xml:space="preserve"> and ultimately selected for further in-depth interviews to gather more information on how their </w:t>
      </w:r>
      <w:r>
        <w:rPr>
          <w:rFonts w:cstheme="minorHAnsi"/>
          <w:szCs w:val="20"/>
        </w:rPr>
        <w:t>AVL/GPS</w:t>
      </w:r>
      <w:r w:rsidRPr="00F21BC1">
        <w:rPr>
          <w:rFonts w:cstheme="minorHAnsi"/>
          <w:szCs w:val="20"/>
        </w:rPr>
        <w:t xml:space="preserve"> </w:t>
      </w:r>
      <w:r w:rsidRPr="00501300">
        <w:rPr>
          <w:rFonts w:cstheme="minorHAnsi"/>
          <w:szCs w:val="20"/>
        </w:rPr>
        <w:t xml:space="preserve">system </w:t>
      </w:r>
      <w:r w:rsidRPr="00501300">
        <w:rPr>
          <w:rFonts w:cstheme="minorHAnsi"/>
        </w:rPr>
        <w:t>is implemented and utilized</w:t>
      </w:r>
      <w:r w:rsidRPr="00501300">
        <w:rPr>
          <w:rFonts w:cstheme="minorHAnsi"/>
          <w:szCs w:val="20"/>
        </w:rPr>
        <w:t>.  W</w:t>
      </w:r>
      <w:r>
        <w:rPr>
          <w:rFonts w:cstheme="minorHAnsi"/>
          <w:szCs w:val="20"/>
        </w:rPr>
        <w:t>is</w:t>
      </w:r>
      <w:r w:rsidRPr="00501300">
        <w:rPr>
          <w:rFonts w:cstheme="minorHAnsi"/>
          <w:szCs w:val="20"/>
        </w:rPr>
        <w:t>DOT’s</w:t>
      </w:r>
      <w:bookmarkStart w:id="17" w:name="_Hlk500508644"/>
      <w:r w:rsidRPr="00501300">
        <w:rPr>
          <w:rFonts w:cstheme="minorHAnsi"/>
        </w:rPr>
        <w:t xml:space="preserve"> survey responses are also included in Appendix A of this Case Study.</w:t>
      </w:r>
      <w:bookmarkEnd w:id="17"/>
    </w:p>
    <w:p w14:paraId="0EDDE60B" w14:textId="77777777" w:rsidR="00472BDD" w:rsidRDefault="00472BDD" w:rsidP="00472BDD">
      <w:pPr>
        <w:pStyle w:val="Heading2"/>
      </w:pPr>
      <w:bookmarkStart w:id="18" w:name="_Toc508894688"/>
      <w:r>
        <w:t>Agency Characteristics</w:t>
      </w:r>
      <w:bookmarkEnd w:id="18"/>
    </w:p>
    <w:p w14:paraId="71CEDEA1" w14:textId="3AFEB177" w:rsidR="006D45C6" w:rsidRDefault="00190824" w:rsidP="00190824">
      <w:r>
        <w:t xml:space="preserve">WisDOT’s Bureau of Highway Maintenance, in </w:t>
      </w:r>
      <w:r w:rsidR="006D45C6">
        <w:t xml:space="preserve">a </w:t>
      </w:r>
      <w:r>
        <w:t xml:space="preserve">partnership with </w:t>
      </w:r>
      <w:r w:rsidR="006D45C6">
        <w:t xml:space="preserve">its </w:t>
      </w:r>
      <w:r>
        <w:t xml:space="preserve">five WisDOT regional offices, is responsible for the maintenance of the state trunk and Interstate highway system. </w:t>
      </w:r>
      <w:r w:rsidR="006D45C6">
        <w:t xml:space="preserve"> </w:t>
      </w:r>
      <w:r>
        <w:t xml:space="preserve">WisDOT contracts with </w:t>
      </w:r>
      <w:r w:rsidR="006D45C6">
        <w:t xml:space="preserve">each of </w:t>
      </w:r>
      <w:r>
        <w:t xml:space="preserve">the state’s 72 county highway departments to </w:t>
      </w:r>
      <w:r w:rsidR="006D45C6">
        <w:t xml:space="preserve">perform </w:t>
      </w:r>
      <w:r>
        <w:t xml:space="preserve">snow and ice </w:t>
      </w:r>
      <w:r w:rsidR="006D45C6">
        <w:t xml:space="preserve">removal and control </w:t>
      </w:r>
      <w:r>
        <w:t xml:space="preserve">on all </w:t>
      </w:r>
      <w:r w:rsidR="00767C2F">
        <w:lastRenderedPageBreak/>
        <w:t>Interstates and State</w:t>
      </w:r>
      <w:r>
        <w:t xml:space="preserve"> highways </w:t>
      </w:r>
      <w:r w:rsidR="00101D49">
        <w:t>within each c</w:t>
      </w:r>
      <w:r w:rsidR="006D45C6">
        <w:t>ounty</w:t>
      </w:r>
      <w:r>
        <w:t xml:space="preserve">. </w:t>
      </w:r>
      <w:r w:rsidR="006D45C6">
        <w:t xml:space="preserve"> Though WisDOT </w:t>
      </w:r>
      <w:r w:rsidR="00101D49">
        <w:t>provides funding to c</w:t>
      </w:r>
      <w:r w:rsidR="00E043F8">
        <w:t>ounties</w:t>
      </w:r>
      <w:r w:rsidR="00767C2F">
        <w:t xml:space="preserve"> to perform winter maintenance activities</w:t>
      </w:r>
      <w:r w:rsidR="006D45C6">
        <w:t xml:space="preserve">, WisDOT </w:t>
      </w:r>
      <w:r w:rsidR="006D45C6" w:rsidRPr="00F66A19">
        <w:t>does not own any of the snow plow vehicles or any of the equipment associated with the vehicles.</w:t>
      </w:r>
      <w:r w:rsidR="006D45C6">
        <w:t xml:space="preserve">  </w:t>
      </w:r>
      <w:r w:rsidR="00767C2F">
        <w:t>Counties maintain the o</w:t>
      </w:r>
      <w:r w:rsidR="006D45C6">
        <w:t xml:space="preserve">wnership of the vehicles and equipment resides </w:t>
      </w:r>
      <w:r w:rsidR="00767C2F">
        <w:t>on the vehicle</w:t>
      </w:r>
      <w:r w:rsidR="006D45C6">
        <w:t>.  This partnership was set up more than 100 years ago and is unique in the nation.</w:t>
      </w:r>
    </w:p>
    <w:p w14:paraId="283FADE4" w14:textId="77777777" w:rsidR="006D45C6" w:rsidRDefault="006D45C6" w:rsidP="00190824"/>
    <w:p w14:paraId="2DFED0C8" w14:textId="77777777" w:rsidR="006D45C6" w:rsidRDefault="006D45C6" w:rsidP="00190824">
      <w:r>
        <w:t xml:space="preserve">Staff at WisDOT’s five regional offices work closely with the county highway departments. Regional managers administer the contracts with the counties, and work with the counties to plan for maintenance activities and set priorities. Regional staff oversee county highway departments’ maintenance expenditures, and are responsible for ensuring that the counties use resources efficiently and adhere to state guidelines for materials use.  Regional staff also serve as a resource for the counties on state and federal rules and regulations, and can provide training assistance.  </w:t>
      </w:r>
      <w:r w:rsidR="00767C2F">
        <w:t>Figure 1</w:t>
      </w:r>
      <w:r w:rsidR="00DF6A48">
        <w:t xml:space="preserve"> </w:t>
      </w:r>
      <w:r>
        <w:t>presents an overview of the WisDOT regions and counties of the state.</w:t>
      </w:r>
      <w:r>
        <w:rPr>
          <w:rStyle w:val="FootnoteReference"/>
        </w:rPr>
        <w:footnoteReference w:id="1"/>
      </w:r>
      <w:r w:rsidR="00CB543D">
        <w:t xml:space="preserve"> </w:t>
      </w:r>
    </w:p>
    <w:p w14:paraId="239C510A" w14:textId="77777777" w:rsidR="004D15DE" w:rsidRDefault="004D15DE" w:rsidP="00190824"/>
    <w:p w14:paraId="7A026258" w14:textId="77777777" w:rsidR="00EE073E" w:rsidRDefault="00EE073E" w:rsidP="00190824"/>
    <w:p w14:paraId="3EDDB1F1" w14:textId="77777777" w:rsidR="00BD0B73" w:rsidRDefault="003A3653" w:rsidP="004D15DE">
      <w:pPr>
        <w:jc w:val="center"/>
      </w:pPr>
      <w:r>
        <w:rPr>
          <w:noProof/>
        </w:rPr>
        <w:drawing>
          <wp:inline distT="0" distB="0" distL="0" distR="0" wp14:anchorId="2A378FEF" wp14:editId="30998A1C">
            <wp:extent cx="4495520" cy="4754880"/>
            <wp:effectExtent l="0" t="0" r="635"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4495520" cy="4754880"/>
                    </a:xfrm>
                    <a:prstGeom prst="rect">
                      <a:avLst/>
                    </a:prstGeom>
                  </pic:spPr>
                </pic:pic>
              </a:graphicData>
            </a:graphic>
          </wp:inline>
        </w:drawing>
      </w:r>
    </w:p>
    <w:p w14:paraId="5A004510" w14:textId="1FFDAE52" w:rsidR="00BD0B73" w:rsidRDefault="00BD0B73" w:rsidP="00767C2F">
      <w:pPr>
        <w:pStyle w:val="Caption"/>
      </w:pPr>
      <w:bookmarkStart w:id="19" w:name="_Toc513818302"/>
      <w:r>
        <w:t xml:space="preserve">Figure </w:t>
      </w:r>
      <w:r>
        <w:fldChar w:fldCharType="begin"/>
      </w:r>
      <w:r>
        <w:instrText xml:space="preserve"> SEQ Figure \* ARABIC </w:instrText>
      </w:r>
      <w:r>
        <w:fldChar w:fldCharType="separate"/>
      </w:r>
      <w:r w:rsidR="00E16E42">
        <w:rPr>
          <w:noProof/>
        </w:rPr>
        <w:t>1</w:t>
      </w:r>
      <w:r>
        <w:fldChar w:fldCharType="end"/>
      </w:r>
      <w:r>
        <w:t>. Wisconsin DOT Regions and Counties</w:t>
      </w:r>
      <w:bookmarkEnd w:id="19"/>
    </w:p>
    <w:p w14:paraId="576660D6" w14:textId="77777777" w:rsidR="00BD0B73" w:rsidRDefault="00BD0B73" w:rsidP="003A3653"/>
    <w:p w14:paraId="0D9DCC69" w14:textId="77777777" w:rsidR="00767C2F" w:rsidRDefault="00767C2F" w:rsidP="00767C2F"/>
    <w:p w14:paraId="4883BA96" w14:textId="77777777" w:rsidR="00EE073E" w:rsidRDefault="00EE073E" w:rsidP="00767C2F"/>
    <w:p w14:paraId="79B78360" w14:textId="6DC96537" w:rsidR="00767C2F" w:rsidRDefault="00767C2F" w:rsidP="00767C2F">
      <w:pPr>
        <w:spacing w:line="240" w:lineRule="auto"/>
      </w:pPr>
      <w:r>
        <w:lastRenderedPageBreak/>
        <w:t xml:space="preserve">Within each </w:t>
      </w:r>
      <w:r w:rsidR="00101D49">
        <w:t>c</w:t>
      </w:r>
      <w:r>
        <w:t>ounty, there are the following general positions with regard to highway and winter maintenance:</w:t>
      </w:r>
    </w:p>
    <w:p w14:paraId="1037F2AA" w14:textId="77777777" w:rsidR="00767C2F" w:rsidRDefault="00767C2F" w:rsidP="003A3653"/>
    <w:p w14:paraId="4D650FBD" w14:textId="55DED956" w:rsidR="00767C2F" w:rsidRPr="003A3653" w:rsidRDefault="00767C2F" w:rsidP="00767C2F">
      <w:pPr>
        <w:spacing w:after="120" w:line="240" w:lineRule="auto"/>
        <w:ind w:left="720"/>
      </w:pPr>
      <w:r w:rsidRPr="003A3653">
        <w:rPr>
          <w:u w:val="single"/>
        </w:rPr>
        <w:t>County Commissioner</w:t>
      </w:r>
      <w:r w:rsidRPr="003A3653">
        <w:t xml:space="preserve">: Responsible for overseeing all highway maintenance activities in the </w:t>
      </w:r>
      <w:r w:rsidR="00101D49">
        <w:t>c</w:t>
      </w:r>
      <w:r w:rsidRPr="003A3653">
        <w:t xml:space="preserve">ounty, including response during winter storms.  Communicates with WisDOT as needed with requests for information on the </w:t>
      </w:r>
      <w:r>
        <w:t>AVL/GPS</w:t>
      </w:r>
      <w:r w:rsidRPr="003A3653">
        <w:t xml:space="preserve"> system.</w:t>
      </w:r>
    </w:p>
    <w:p w14:paraId="3919B767" w14:textId="2A8543EA" w:rsidR="00767C2F" w:rsidRPr="003A3653" w:rsidRDefault="00767C2F" w:rsidP="00767C2F">
      <w:pPr>
        <w:spacing w:after="120" w:line="240" w:lineRule="auto"/>
        <w:ind w:left="720"/>
      </w:pPr>
      <w:r w:rsidRPr="003A3653">
        <w:rPr>
          <w:u w:val="single"/>
        </w:rPr>
        <w:t>County Patrol Superintendent</w:t>
      </w:r>
      <w:r w:rsidRPr="003A3653">
        <w:t xml:space="preserve">: Responsible for monitoring how multiple vehicles and drivers are operating within the </w:t>
      </w:r>
      <w:r w:rsidR="00101D49">
        <w:t>c</w:t>
      </w:r>
      <w:r w:rsidRPr="003A3653">
        <w:t xml:space="preserve">ounty.  Will review the recommended material treatment from </w:t>
      </w:r>
      <w:r w:rsidR="000B74A0">
        <w:t>the Maintenance Decision Support System (</w:t>
      </w:r>
      <w:r w:rsidRPr="003A3653">
        <w:t>MDSS</w:t>
      </w:r>
      <w:r w:rsidR="000B74A0">
        <w:t>)</w:t>
      </w:r>
      <w:r w:rsidRPr="003A3653">
        <w:t xml:space="preserve"> software interface and then communicate the appropriate application rate to </w:t>
      </w:r>
      <w:r w:rsidR="00101D49">
        <w:t>c</w:t>
      </w:r>
      <w:r w:rsidRPr="003A3653">
        <w:t>ounty snow plow drivers over radio.  Reports to County Commissioner on winter maintenance operations.</w:t>
      </w:r>
    </w:p>
    <w:p w14:paraId="2A9DB9EB" w14:textId="77777777" w:rsidR="00767C2F" w:rsidRDefault="00767C2F" w:rsidP="00767C2F">
      <w:pPr>
        <w:spacing w:line="240" w:lineRule="auto"/>
        <w:ind w:left="720"/>
      </w:pPr>
      <w:r w:rsidRPr="003A3653">
        <w:rPr>
          <w:u w:val="single"/>
        </w:rPr>
        <w:t>County Foreman</w:t>
      </w:r>
      <w:r w:rsidRPr="003A3653">
        <w:t xml:space="preserve">: Responsible for maintenance of </w:t>
      </w:r>
      <w:r>
        <w:t>AVL/GPS</w:t>
      </w:r>
      <w:r w:rsidRPr="003A3653">
        <w:t xml:space="preserve"> system equipment and requesting spare parts from the vendor.</w:t>
      </w:r>
      <w:r>
        <w:t xml:space="preserve">  </w:t>
      </w:r>
    </w:p>
    <w:p w14:paraId="7FF23B7E" w14:textId="77777777" w:rsidR="00472BDD" w:rsidRDefault="00C367DE" w:rsidP="00472BDD">
      <w:pPr>
        <w:pStyle w:val="Heading2"/>
      </w:pPr>
      <w:bookmarkStart w:id="20" w:name="_Toc508894689"/>
      <w:r>
        <w:t>Agency Interviews</w:t>
      </w:r>
      <w:bookmarkEnd w:id="20"/>
      <w:r w:rsidR="00472BDD">
        <w:t xml:space="preserve"> </w:t>
      </w:r>
    </w:p>
    <w:p w14:paraId="0AE149C9" w14:textId="77777777" w:rsidR="00C367DE" w:rsidRDefault="00064730" w:rsidP="002E519B">
      <w:r>
        <w:t>Wis</w:t>
      </w:r>
      <w:r w:rsidR="00605598">
        <w:t>DOT st</w:t>
      </w:r>
      <w:r w:rsidR="000E1D79">
        <w:t>aff were interviewed over a two-</w:t>
      </w:r>
      <w:r w:rsidR="00605598">
        <w:t xml:space="preserve">day period between </w:t>
      </w:r>
      <w:r w:rsidR="000E1D79">
        <w:t>Dec</w:t>
      </w:r>
      <w:r w:rsidR="00605598">
        <w:t xml:space="preserve">. </w:t>
      </w:r>
      <w:r w:rsidR="000E1D79">
        <w:t>1</w:t>
      </w:r>
      <w:r>
        <w:t>1</w:t>
      </w:r>
      <w:r w:rsidR="000E1D79" w:rsidRPr="000E1D79">
        <w:rPr>
          <w:vertAlign w:val="superscript"/>
        </w:rPr>
        <w:t>th</w:t>
      </w:r>
      <w:r w:rsidR="000E1D79">
        <w:t xml:space="preserve"> </w:t>
      </w:r>
      <w:r w:rsidR="00605598">
        <w:t xml:space="preserve">and </w:t>
      </w:r>
      <w:r w:rsidR="000E1D79">
        <w:t>Dec</w:t>
      </w:r>
      <w:r w:rsidR="00605598">
        <w:t xml:space="preserve">. </w:t>
      </w:r>
      <w:r w:rsidR="000E1D79">
        <w:t>1</w:t>
      </w:r>
      <w:r>
        <w:t>2</w:t>
      </w:r>
      <w:r w:rsidR="00605598" w:rsidRPr="00605598">
        <w:rPr>
          <w:vertAlign w:val="superscript"/>
        </w:rPr>
        <w:t>th</w:t>
      </w:r>
      <w:r w:rsidR="00605598">
        <w:t xml:space="preserve">, 2017 at </w:t>
      </w:r>
      <w:r>
        <w:t>Wis</w:t>
      </w:r>
      <w:r w:rsidR="00605598">
        <w:t>DOT office</w:t>
      </w:r>
      <w:r w:rsidR="00F66A19">
        <w:t>s</w:t>
      </w:r>
      <w:r w:rsidR="000E1D79">
        <w:t xml:space="preserve"> in </w:t>
      </w:r>
      <w:r>
        <w:t>Madison</w:t>
      </w:r>
      <w:r w:rsidR="00F66A19">
        <w:t xml:space="preserve"> and in Sauk County, WI</w:t>
      </w:r>
      <w:r w:rsidR="00605598">
        <w:t xml:space="preserve">.  </w:t>
      </w:r>
      <w:r w:rsidR="00F66A19">
        <w:t>Table 1</w:t>
      </w:r>
      <w:r w:rsidR="00605598">
        <w:t xml:space="preserve"> lists those individuals that were interviewed for the project.</w:t>
      </w:r>
    </w:p>
    <w:p w14:paraId="7FD864FB" w14:textId="77777777" w:rsidR="00C367DE" w:rsidRDefault="00C367DE" w:rsidP="00C367DE">
      <w:pPr>
        <w:tabs>
          <w:tab w:val="clear" w:pos="284"/>
        </w:tabs>
        <w:spacing w:line="240" w:lineRule="auto"/>
      </w:pPr>
    </w:p>
    <w:p w14:paraId="2BA6DD88" w14:textId="6402C4D6" w:rsidR="00C367DE" w:rsidRDefault="00C367DE" w:rsidP="00767C2F">
      <w:pPr>
        <w:pStyle w:val="Caption"/>
      </w:pPr>
      <w:bookmarkStart w:id="21" w:name="_Toc508894734"/>
      <w:r>
        <w:t xml:space="preserve">Table </w:t>
      </w:r>
      <w:r>
        <w:fldChar w:fldCharType="begin"/>
      </w:r>
      <w:r>
        <w:instrText xml:space="preserve"> SEQ Table \* ARABIC </w:instrText>
      </w:r>
      <w:r>
        <w:fldChar w:fldCharType="separate"/>
      </w:r>
      <w:r w:rsidR="00E16E42">
        <w:rPr>
          <w:noProof/>
        </w:rPr>
        <w:t>1</w:t>
      </w:r>
      <w:r>
        <w:fldChar w:fldCharType="end"/>
      </w:r>
      <w:r w:rsidR="0038025A">
        <w:t>.</w:t>
      </w:r>
      <w:r>
        <w:t xml:space="preserve"> Agency Interview Dates / Times</w:t>
      </w:r>
      <w:bookmarkEnd w:id="21"/>
    </w:p>
    <w:p w14:paraId="3B8D770F" w14:textId="77777777" w:rsidR="00392010" w:rsidRPr="00392010" w:rsidRDefault="00392010" w:rsidP="00392010">
      <w:pPr>
        <w:pStyle w:val="BodyText"/>
        <w:spacing w:after="0"/>
      </w:pPr>
    </w:p>
    <w:tbl>
      <w:tblPr>
        <w:tblStyle w:val="AECOMtable"/>
        <w:tblW w:w="0" w:type="auto"/>
        <w:tblLook w:val="04A0" w:firstRow="1" w:lastRow="0" w:firstColumn="1" w:lastColumn="0" w:noHBand="0" w:noVBand="1"/>
      </w:tblPr>
      <w:tblGrid>
        <w:gridCol w:w="3780"/>
        <w:gridCol w:w="1440"/>
        <w:gridCol w:w="4140"/>
      </w:tblGrid>
      <w:tr w:rsidR="00C367DE" w14:paraId="2FDE8E31" w14:textId="77777777" w:rsidTr="00BD0B73">
        <w:trPr>
          <w:cnfStyle w:val="100000000000" w:firstRow="1" w:lastRow="0" w:firstColumn="0" w:lastColumn="0" w:oddVBand="0" w:evenVBand="0" w:oddHBand="0" w:evenHBand="0" w:firstRowFirstColumn="0" w:firstRowLastColumn="0" w:lastRowFirstColumn="0" w:lastRowLastColumn="0"/>
          <w:cantSplit/>
          <w:tblHeader/>
        </w:trPr>
        <w:tc>
          <w:tcPr>
            <w:tcW w:w="3780" w:type="dxa"/>
          </w:tcPr>
          <w:p w14:paraId="3D1D4D52" w14:textId="77777777" w:rsidR="00C367DE" w:rsidRDefault="00C367DE" w:rsidP="00C367DE">
            <w:r>
              <w:t>Staff Interviewed</w:t>
            </w:r>
          </w:p>
        </w:tc>
        <w:tc>
          <w:tcPr>
            <w:tcW w:w="1440" w:type="dxa"/>
          </w:tcPr>
          <w:p w14:paraId="282C1895" w14:textId="77777777" w:rsidR="00C367DE" w:rsidRDefault="00C367DE" w:rsidP="00C367DE">
            <w:r>
              <w:t>Date / Time</w:t>
            </w:r>
          </w:p>
        </w:tc>
        <w:tc>
          <w:tcPr>
            <w:tcW w:w="4140" w:type="dxa"/>
          </w:tcPr>
          <w:p w14:paraId="3EB7E525" w14:textId="77777777" w:rsidR="00C367DE" w:rsidRDefault="00C367DE" w:rsidP="00C367DE">
            <w:r>
              <w:t>Subjects Discussed</w:t>
            </w:r>
          </w:p>
        </w:tc>
      </w:tr>
      <w:tr w:rsidR="001F75E0" w:rsidRPr="00767C2F" w14:paraId="5310E5AB" w14:textId="77777777" w:rsidTr="00BD0B73">
        <w:trPr>
          <w:cantSplit/>
        </w:trPr>
        <w:tc>
          <w:tcPr>
            <w:tcW w:w="3780" w:type="dxa"/>
          </w:tcPr>
          <w:p w14:paraId="0801A7CD" w14:textId="77777777" w:rsidR="00144B35" w:rsidRPr="00767C2F" w:rsidRDefault="00064730"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Al Johnson</w:t>
            </w:r>
            <w:r w:rsidR="007068C6" w:rsidRPr="00767C2F">
              <w:rPr>
                <w:rFonts w:ascii="Arial" w:hAnsi="Arial" w:cs="Arial"/>
                <w:color w:val="222222"/>
                <w:sz w:val="20"/>
                <w:szCs w:val="20"/>
              </w:rPr>
              <w:t xml:space="preserve">, </w:t>
            </w:r>
            <w:r w:rsidR="00144B35" w:rsidRPr="00767C2F">
              <w:rPr>
                <w:rFonts w:ascii="Arial" w:hAnsi="Arial" w:cs="Arial"/>
                <w:color w:val="222222"/>
                <w:sz w:val="20"/>
                <w:szCs w:val="20"/>
              </w:rPr>
              <w:t>Wis</w:t>
            </w:r>
            <w:r w:rsidR="007068C6" w:rsidRPr="00767C2F">
              <w:rPr>
                <w:rFonts w:ascii="Arial" w:hAnsi="Arial" w:cs="Arial"/>
                <w:color w:val="222222"/>
                <w:sz w:val="20"/>
                <w:szCs w:val="20"/>
              </w:rPr>
              <w:t>DOT</w:t>
            </w:r>
            <w:r w:rsidR="00144B35" w:rsidRPr="00767C2F">
              <w:rPr>
                <w:rFonts w:ascii="Arial" w:hAnsi="Arial" w:cs="Arial"/>
                <w:color w:val="222222"/>
                <w:sz w:val="20"/>
                <w:szCs w:val="20"/>
              </w:rPr>
              <w:t xml:space="preserve"> Winter Maintenance Engineer</w:t>
            </w:r>
          </w:p>
          <w:p w14:paraId="428F0737" w14:textId="77777777" w:rsidR="00144B35" w:rsidRPr="00767C2F" w:rsidRDefault="00144B35"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 xml:space="preserve">Mike Adams, </w:t>
            </w:r>
            <w:r w:rsidRPr="00767C2F">
              <w:rPr>
                <w:rFonts w:ascii="Arial" w:hAnsi="Arial" w:cs="Arial"/>
                <w:color w:val="222222"/>
                <w:sz w:val="20"/>
                <w:szCs w:val="20"/>
              </w:rPr>
              <w:t>RWIS Program Manager</w:t>
            </w:r>
          </w:p>
          <w:p w14:paraId="0414951D" w14:textId="77777777" w:rsidR="007068C6" w:rsidRPr="00767C2F" w:rsidRDefault="00144B35"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 xml:space="preserve">Sharon Bremser, </w:t>
            </w:r>
            <w:r w:rsidRPr="00767C2F">
              <w:rPr>
                <w:rFonts w:ascii="Arial" w:hAnsi="Arial" w:cs="Arial"/>
                <w:color w:val="222222"/>
                <w:sz w:val="20"/>
                <w:szCs w:val="20"/>
              </w:rPr>
              <w:t>Statewide Bureaus Consultant Supervisor</w:t>
            </w:r>
          </w:p>
          <w:p w14:paraId="24A91BA1" w14:textId="77777777" w:rsidR="00144B35" w:rsidRPr="00767C2F" w:rsidRDefault="00144B35" w:rsidP="00767C2F">
            <w:pPr>
              <w:ind w:left="270" w:hanging="270"/>
              <w:rPr>
                <w:szCs w:val="20"/>
              </w:rPr>
            </w:pPr>
            <w:r w:rsidRPr="00767C2F">
              <w:rPr>
                <w:b/>
                <w:szCs w:val="20"/>
              </w:rPr>
              <w:t>James Hughes</w:t>
            </w:r>
            <w:r w:rsidRPr="00767C2F">
              <w:rPr>
                <w:szCs w:val="20"/>
              </w:rPr>
              <w:t>, Highway Maintenance and Roadside Management Section Chief</w:t>
            </w:r>
          </w:p>
          <w:p w14:paraId="0695BBC5" w14:textId="77777777" w:rsidR="001F75E0" w:rsidRPr="00767C2F" w:rsidRDefault="00144B35" w:rsidP="00767C2F">
            <w:pPr>
              <w:ind w:left="270" w:hanging="270"/>
              <w:rPr>
                <w:szCs w:val="20"/>
              </w:rPr>
            </w:pPr>
            <w:r w:rsidRPr="00767C2F">
              <w:rPr>
                <w:b/>
                <w:szCs w:val="20"/>
              </w:rPr>
              <w:t>Chris Ohm</w:t>
            </w:r>
            <w:r w:rsidRPr="00767C2F">
              <w:rPr>
                <w:szCs w:val="20"/>
              </w:rPr>
              <w:t>, Bureau of Highway Maintenance</w:t>
            </w:r>
          </w:p>
        </w:tc>
        <w:tc>
          <w:tcPr>
            <w:tcW w:w="1440" w:type="dxa"/>
          </w:tcPr>
          <w:p w14:paraId="39512499" w14:textId="77777777" w:rsidR="001F75E0" w:rsidRPr="00767C2F" w:rsidRDefault="00576172" w:rsidP="001F75E0">
            <w:pPr>
              <w:rPr>
                <w:szCs w:val="20"/>
              </w:rPr>
            </w:pPr>
            <w:r w:rsidRPr="00767C2F">
              <w:rPr>
                <w:szCs w:val="20"/>
              </w:rPr>
              <w:t>Dec</w:t>
            </w:r>
            <w:r w:rsidR="002B351E" w:rsidRPr="00767C2F">
              <w:rPr>
                <w:szCs w:val="20"/>
              </w:rPr>
              <w:t xml:space="preserve">. </w:t>
            </w:r>
            <w:r w:rsidRPr="00767C2F">
              <w:rPr>
                <w:szCs w:val="20"/>
              </w:rPr>
              <w:t>1</w:t>
            </w:r>
            <w:r w:rsidR="00064730" w:rsidRPr="00767C2F">
              <w:rPr>
                <w:szCs w:val="20"/>
              </w:rPr>
              <w:t>1</w:t>
            </w:r>
            <w:r w:rsidR="002B351E" w:rsidRPr="00767C2F">
              <w:rPr>
                <w:szCs w:val="20"/>
                <w:vertAlign w:val="superscript"/>
              </w:rPr>
              <w:t>th</w:t>
            </w:r>
            <w:r w:rsidR="000E1D79" w:rsidRPr="00767C2F">
              <w:rPr>
                <w:szCs w:val="20"/>
              </w:rPr>
              <w:t xml:space="preserve"> / </w:t>
            </w:r>
          </w:p>
          <w:p w14:paraId="78F5C59D" w14:textId="77777777" w:rsidR="00144B35" w:rsidRPr="00767C2F" w:rsidRDefault="00144B35" w:rsidP="001F75E0">
            <w:pPr>
              <w:rPr>
                <w:szCs w:val="20"/>
              </w:rPr>
            </w:pPr>
            <w:r w:rsidRPr="00767C2F">
              <w:rPr>
                <w:szCs w:val="20"/>
              </w:rPr>
              <w:t>1:00pm</w:t>
            </w:r>
          </w:p>
        </w:tc>
        <w:tc>
          <w:tcPr>
            <w:tcW w:w="4140" w:type="dxa"/>
          </w:tcPr>
          <w:p w14:paraId="07AB158B" w14:textId="77777777" w:rsidR="00F66A19" w:rsidRPr="00767C2F" w:rsidRDefault="00F66A19" w:rsidP="00F66A19">
            <w:pPr>
              <w:pStyle w:val="TableListBullet"/>
              <w:spacing w:after="0"/>
              <w:rPr>
                <w:kern w:val="0"/>
                <w:sz w:val="20"/>
                <w:szCs w:val="20"/>
              </w:rPr>
            </w:pPr>
            <w:r w:rsidRPr="00767C2F">
              <w:rPr>
                <w:sz w:val="20"/>
                <w:szCs w:val="20"/>
              </w:rPr>
              <w:t>Decision-making process</w:t>
            </w:r>
          </w:p>
          <w:p w14:paraId="49663290" w14:textId="77777777" w:rsidR="00F66A19" w:rsidRPr="00767C2F" w:rsidRDefault="00F66A19" w:rsidP="00F66A19">
            <w:pPr>
              <w:pStyle w:val="TableListBullet"/>
              <w:spacing w:after="0"/>
              <w:rPr>
                <w:sz w:val="20"/>
                <w:szCs w:val="20"/>
              </w:rPr>
            </w:pPr>
            <w:r w:rsidRPr="00767C2F">
              <w:rPr>
                <w:sz w:val="20"/>
                <w:szCs w:val="20"/>
              </w:rPr>
              <w:t>Procurement process</w:t>
            </w:r>
          </w:p>
          <w:p w14:paraId="70AE9993" w14:textId="77777777" w:rsidR="00F66A19" w:rsidRPr="00767C2F" w:rsidRDefault="00F66A19" w:rsidP="00F66A19">
            <w:pPr>
              <w:pStyle w:val="TableListBullet"/>
              <w:spacing w:after="0"/>
              <w:rPr>
                <w:sz w:val="20"/>
                <w:szCs w:val="20"/>
              </w:rPr>
            </w:pPr>
            <w:r w:rsidRPr="00767C2F">
              <w:rPr>
                <w:sz w:val="20"/>
                <w:szCs w:val="20"/>
              </w:rPr>
              <w:t>Data collection policy</w:t>
            </w:r>
          </w:p>
          <w:p w14:paraId="75467F61" w14:textId="77777777" w:rsidR="00F66A19" w:rsidRPr="00767C2F" w:rsidRDefault="00F66A19" w:rsidP="00F66A19">
            <w:pPr>
              <w:pStyle w:val="TableListBullet"/>
              <w:spacing w:after="0"/>
              <w:rPr>
                <w:sz w:val="20"/>
                <w:szCs w:val="20"/>
              </w:rPr>
            </w:pPr>
            <w:r w:rsidRPr="00767C2F">
              <w:rPr>
                <w:sz w:val="20"/>
                <w:szCs w:val="20"/>
              </w:rPr>
              <w:t>Data sharing policy</w:t>
            </w:r>
          </w:p>
          <w:p w14:paraId="2C91AA7E" w14:textId="77777777" w:rsidR="00F66A19" w:rsidRPr="00767C2F" w:rsidRDefault="00F66A19" w:rsidP="00F66A19">
            <w:pPr>
              <w:pStyle w:val="TableListBullet"/>
              <w:spacing w:after="0"/>
              <w:rPr>
                <w:sz w:val="20"/>
                <w:szCs w:val="20"/>
              </w:rPr>
            </w:pPr>
            <w:r w:rsidRPr="00767C2F">
              <w:rPr>
                <w:sz w:val="20"/>
                <w:szCs w:val="20"/>
              </w:rPr>
              <w:t>Overall experience</w:t>
            </w:r>
          </w:p>
          <w:p w14:paraId="6B468028" w14:textId="77777777" w:rsidR="000E1D79" w:rsidRPr="00767C2F" w:rsidRDefault="000E1D79" w:rsidP="00F66A19">
            <w:pPr>
              <w:pStyle w:val="TableListBullet"/>
              <w:spacing w:after="0"/>
              <w:rPr>
                <w:sz w:val="20"/>
                <w:szCs w:val="20"/>
              </w:rPr>
            </w:pPr>
            <w:r w:rsidRPr="00767C2F">
              <w:rPr>
                <w:sz w:val="20"/>
                <w:szCs w:val="20"/>
              </w:rPr>
              <w:t>Communications</w:t>
            </w:r>
          </w:p>
          <w:p w14:paraId="0AAF7D50" w14:textId="77777777" w:rsidR="000E1D79" w:rsidRPr="00767C2F" w:rsidRDefault="000E1D79" w:rsidP="00F66A19">
            <w:pPr>
              <w:pStyle w:val="TableListBullet"/>
              <w:spacing w:after="0"/>
              <w:rPr>
                <w:sz w:val="20"/>
                <w:szCs w:val="20"/>
              </w:rPr>
            </w:pPr>
            <w:r w:rsidRPr="00767C2F">
              <w:rPr>
                <w:sz w:val="20"/>
                <w:szCs w:val="20"/>
              </w:rPr>
              <w:t>Software and interfaces</w:t>
            </w:r>
          </w:p>
          <w:p w14:paraId="0967266E" w14:textId="77777777" w:rsidR="001F75E0" w:rsidRPr="00767C2F" w:rsidRDefault="000E1D79" w:rsidP="00F66A19">
            <w:pPr>
              <w:pStyle w:val="TableListBullet"/>
              <w:spacing w:after="0"/>
              <w:rPr>
                <w:sz w:val="20"/>
                <w:szCs w:val="20"/>
              </w:rPr>
            </w:pPr>
            <w:r w:rsidRPr="00767C2F">
              <w:rPr>
                <w:sz w:val="20"/>
                <w:szCs w:val="20"/>
              </w:rPr>
              <w:t>Data storage and management</w:t>
            </w:r>
          </w:p>
          <w:p w14:paraId="5539FE8F" w14:textId="77777777" w:rsidR="00F66A19" w:rsidRPr="00767C2F" w:rsidRDefault="00F66A19" w:rsidP="00F66A19">
            <w:pPr>
              <w:pStyle w:val="TableListBullet"/>
              <w:spacing w:after="0"/>
              <w:rPr>
                <w:sz w:val="20"/>
                <w:szCs w:val="20"/>
              </w:rPr>
            </w:pPr>
            <w:r w:rsidRPr="00767C2F">
              <w:rPr>
                <w:sz w:val="20"/>
                <w:szCs w:val="20"/>
              </w:rPr>
              <w:t>Implementation and integration decisions</w:t>
            </w:r>
          </w:p>
          <w:p w14:paraId="2CE7A16C" w14:textId="77777777" w:rsidR="00F66A19" w:rsidRPr="00767C2F" w:rsidRDefault="00F66A19" w:rsidP="00F66A19">
            <w:pPr>
              <w:pStyle w:val="TableListBullet"/>
              <w:spacing w:after="0"/>
              <w:rPr>
                <w:sz w:val="20"/>
                <w:szCs w:val="20"/>
              </w:rPr>
            </w:pPr>
            <w:r w:rsidRPr="00767C2F">
              <w:rPr>
                <w:sz w:val="20"/>
                <w:szCs w:val="20"/>
              </w:rPr>
              <w:t>Hardware and software selection</w:t>
            </w:r>
          </w:p>
          <w:p w14:paraId="4D286E2C" w14:textId="77777777" w:rsidR="00F66A19" w:rsidRPr="00767C2F" w:rsidRDefault="00F66A19" w:rsidP="00F66A19">
            <w:pPr>
              <w:pStyle w:val="TableListBullet"/>
              <w:spacing w:after="0"/>
              <w:rPr>
                <w:sz w:val="20"/>
                <w:szCs w:val="20"/>
              </w:rPr>
            </w:pPr>
            <w:r w:rsidRPr="00767C2F">
              <w:rPr>
                <w:sz w:val="20"/>
                <w:szCs w:val="20"/>
              </w:rPr>
              <w:t>Data collection, utilization and management</w:t>
            </w:r>
          </w:p>
          <w:p w14:paraId="231761D5" w14:textId="77777777" w:rsidR="00F66A19" w:rsidRPr="00767C2F" w:rsidRDefault="00F66A19" w:rsidP="00F66A19">
            <w:pPr>
              <w:pStyle w:val="TableListBullet"/>
              <w:spacing w:after="0"/>
              <w:rPr>
                <w:sz w:val="20"/>
                <w:szCs w:val="20"/>
              </w:rPr>
            </w:pPr>
            <w:r w:rsidRPr="00767C2F">
              <w:rPr>
                <w:sz w:val="20"/>
                <w:szCs w:val="20"/>
              </w:rPr>
              <w:t>Communications</w:t>
            </w:r>
          </w:p>
        </w:tc>
      </w:tr>
      <w:tr w:rsidR="001F75E0" w:rsidRPr="00767C2F" w14:paraId="4C24B013" w14:textId="77777777" w:rsidTr="00BD0B73">
        <w:trPr>
          <w:cantSplit/>
        </w:trPr>
        <w:tc>
          <w:tcPr>
            <w:tcW w:w="3780" w:type="dxa"/>
          </w:tcPr>
          <w:p w14:paraId="4A47C14A" w14:textId="77777777" w:rsidR="001F75E0" w:rsidRPr="00767C2F" w:rsidRDefault="00064730"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Al Johnson</w:t>
            </w:r>
            <w:r w:rsidRPr="00767C2F">
              <w:rPr>
                <w:rFonts w:ascii="Arial" w:hAnsi="Arial" w:cs="Arial"/>
                <w:color w:val="222222"/>
                <w:sz w:val="20"/>
                <w:szCs w:val="20"/>
              </w:rPr>
              <w:t>, Wisconsin DOT</w:t>
            </w:r>
          </w:p>
          <w:p w14:paraId="3DCF0A80" w14:textId="77777777" w:rsidR="00144B35" w:rsidRPr="00767C2F" w:rsidRDefault="00144B35"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Mike Adams</w:t>
            </w:r>
            <w:r w:rsidRPr="00767C2F">
              <w:rPr>
                <w:rFonts w:ascii="Arial" w:hAnsi="Arial" w:cs="Arial"/>
                <w:color w:val="222222"/>
                <w:sz w:val="20"/>
                <w:szCs w:val="20"/>
              </w:rPr>
              <w:t>, RWIS Program Manager</w:t>
            </w:r>
          </w:p>
          <w:p w14:paraId="4AD2A971" w14:textId="77777777" w:rsidR="00144B35" w:rsidRPr="00767C2F" w:rsidRDefault="00144B35" w:rsidP="00767C2F">
            <w:pPr>
              <w:pStyle w:val="NormalWeb"/>
              <w:ind w:left="270" w:hanging="270"/>
              <w:rPr>
                <w:rFonts w:ascii="Arial" w:hAnsi="Arial" w:cs="Arial"/>
                <w:color w:val="222222"/>
                <w:sz w:val="20"/>
                <w:szCs w:val="20"/>
              </w:rPr>
            </w:pPr>
            <w:r w:rsidRPr="00767C2F">
              <w:rPr>
                <w:rFonts w:ascii="Arial" w:hAnsi="Arial" w:cs="Arial"/>
                <w:b/>
                <w:color w:val="222222"/>
                <w:sz w:val="20"/>
                <w:szCs w:val="20"/>
              </w:rPr>
              <w:t>Pat Gavinski</w:t>
            </w:r>
            <w:r w:rsidRPr="00767C2F">
              <w:rPr>
                <w:rFonts w:ascii="Arial" w:hAnsi="Arial" w:cs="Arial"/>
                <w:color w:val="222222"/>
                <w:sz w:val="20"/>
                <w:szCs w:val="20"/>
              </w:rPr>
              <w:t>, Sauk County Commissioner</w:t>
            </w:r>
          </w:p>
          <w:p w14:paraId="0EBB1ED5" w14:textId="77777777" w:rsidR="00144B35" w:rsidRPr="00767C2F" w:rsidRDefault="00144B35" w:rsidP="00767C2F">
            <w:pPr>
              <w:pStyle w:val="NormalWeb"/>
              <w:ind w:left="270" w:hanging="270"/>
              <w:rPr>
                <w:rFonts w:ascii="Arial" w:hAnsi="Arial" w:cs="Arial"/>
                <w:color w:val="222222"/>
                <w:sz w:val="20"/>
                <w:szCs w:val="20"/>
              </w:rPr>
            </w:pPr>
            <w:r w:rsidRPr="00767C2F">
              <w:rPr>
                <w:rFonts w:ascii="Arial" w:hAnsi="Arial" w:cs="Arial"/>
                <w:color w:val="222222"/>
                <w:sz w:val="20"/>
                <w:szCs w:val="20"/>
              </w:rPr>
              <w:t>Additional Sauk County Patrol Superintendent / Drivers</w:t>
            </w:r>
            <w:r w:rsidR="00F66A19" w:rsidRPr="00767C2F">
              <w:rPr>
                <w:rFonts w:ascii="Arial" w:hAnsi="Arial" w:cs="Arial"/>
                <w:color w:val="222222"/>
                <w:sz w:val="20"/>
                <w:szCs w:val="20"/>
              </w:rPr>
              <w:t xml:space="preserve"> / </w:t>
            </w:r>
            <w:r w:rsidRPr="00767C2F">
              <w:rPr>
                <w:rFonts w:ascii="Arial" w:hAnsi="Arial" w:cs="Arial"/>
                <w:color w:val="222222"/>
                <w:sz w:val="20"/>
                <w:szCs w:val="20"/>
              </w:rPr>
              <w:t>Vehicle Maintenance Technicians</w:t>
            </w:r>
          </w:p>
        </w:tc>
        <w:tc>
          <w:tcPr>
            <w:tcW w:w="1440" w:type="dxa"/>
          </w:tcPr>
          <w:p w14:paraId="3B9A8F7F" w14:textId="77777777" w:rsidR="001F75E0" w:rsidRPr="00767C2F" w:rsidRDefault="00576172" w:rsidP="001F75E0">
            <w:pPr>
              <w:rPr>
                <w:szCs w:val="20"/>
              </w:rPr>
            </w:pPr>
            <w:r w:rsidRPr="00767C2F">
              <w:rPr>
                <w:szCs w:val="20"/>
              </w:rPr>
              <w:t>Dec. 1</w:t>
            </w:r>
            <w:r w:rsidR="00064730" w:rsidRPr="00767C2F">
              <w:rPr>
                <w:szCs w:val="20"/>
              </w:rPr>
              <w:t>2</w:t>
            </w:r>
            <w:r w:rsidRPr="00767C2F">
              <w:rPr>
                <w:szCs w:val="20"/>
                <w:vertAlign w:val="superscript"/>
              </w:rPr>
              <w:t>th</w:t>
            </w:r>
            <w:r w:rsidRPr="00767C2F">
              <w:rPr>
                <w:szCs w:val="20"/>
              </w:rPr>
              <w:t xml:space="preserve"> </w:t>
            </w:r>
            <w:r w:rsidR="000E1D79" w:rsidRPr="00767C2F">
              <w:rPr>
                <w:szCs w:val="20"/>
              </w:rPr>
              <w:t xml:space="preserve">/ </w:t>
            </w:r>
          </w:p>
          <w:p w14:paraId="337FC4DE" w14:textId="77777777" w:rsidR="00144B35" w:rsidRPr="00767C2F" w:rsidRDefault="00767C2F" w:rsidP="00767C2F">
            <w:pPr>
              <w:rPr>
                <w:szCs w:val="20"/>
              </w:rPr>
            </w:pPr>
            <w:r>
              <w:rPr>
                <w:szCs w:val="20"/>
              </w:rPr>
              <w:t>8</w:t>
            </w:r>
            <w:r w:rsidR="00144B35" w:rsidRPr="00767C2F">
              <w:rPr>
                <w:szCs w:val="20"/>
              </w:rPr>
              <w:t>:00am</w:t>
            </w:r>
          </w:p>
        </w:tc>
        <w:tc>
          <w:tcPr>
            <w:tcW w:w="4140" w:type="dxa"/>
          </w:tcPr>
          <w:p w14:paraId="47B0484C" w14:textId="77777777" w:rsidR="00F66A19" w:rsidRPr="00767C2F" w:rsidRDefault="00F66A19" w:rsidP="00F66A19">
            <w:pPr>
              <w:pStyle w:val="TableListBullet"/>
              <w:spacing w:after="0"/>
              <w:rPr>
                <w:kern w:val="0"/>
                <w:sz w:val="20"/>
                <w:szCs w:val="20"/>
              </w:rPr>
            </w:pPr>
            <w:r w:rsidRPr="00767C2F">
              <w:rPr>
                <w:sz w:val="20"/>
                <w:szCs w:val="20"/>
              </w:rPr>
              <w:t>Implementation and integration decisions</w:t>
            </w:r>
          </w:p>
          <w:p w14:paraId="50D268AB" w14:textId="77777777" w:rsidR="00F66A19" w:rsidRPr="00767C2F" w:rsidRDefault="00F66A19" w:rsidP="00F66A19">
            <w:pPr>
              <w:pStyle w:val="TableListBullet"/>
              <w:spacing w:after="0"/>
              <w:rPr>
                <w:sz w:val="20"/>
                <w:szCs w:val="20"/>
              </w:rPr>
            </w:pPr>
            <w:r w:rsidRPr="00767C2F">
              <w:rPr>
                <w:sz w:val="20"/>
                <w:szCs w:val="20"/>
              </w:rPr>
              <w:t>Hardware and software selection</w:t>
            </w:r>
          </w:p>
          <w:p w14:paraId="330658E4" w14:textId="77777777" w:rsidR="00F66A19" w:rsidRPr="00767C2F" w:rsidRDefault="00F66A19" w:rsidP="00F66A19">
            <w:pPr>
              <w:pStyle w:val="TableListBullet"/>
              <w:spacing w:after="0"/>
              <w:rPr>
                <w:sz w:val="20"/>
                <w:szCs w:val="20"/>
              </w:rPr>
            </w:pPr>
            <w:r w:rsidRPr="00767C2F">
              <w:rPr>
                <w:sz w:val="20"/>
                <w:szCs w:val="20"/>
              </w:rPr>
              <w:t>Data collection, utilization and management</w:t>
            </w:r>
          </w:p>
          <w:p w14:paraId="158CE478" w14:textId="77777777" w:rsidR="00F66A19" w:rsidRPr="00767C2F" w:rsidRDefault="00F66A19" w:rsidP="00F66A19">
            <w:pPr>
              <w:pStyle w:val="TableListBullet"/>
              <w:spacing w:after="0"/>
              <w:rPr>
                <w:sz w:val="20"/>
                <w:szCs w:val="20"/>
              </w:rPr>
            </w:pPr>
            <w:r w:rsidRPr="00767C2F">
              <w:rPr>
                <w:sz w:val="20"/>
                <w:szCs w:val="20"/>
              </w:rPr>
              <w:t>Communications</w:t>
            </w:r>
          </w:p>
          <w:p w14:paraId="59258790" w14:textId="77777777" w:rsidR="00F66A19" w:rsidRPr="00767C2F" w:rsidRDefault="00F66A19" w:rsidP="00F66A19">
            <w:pPr>
              <w:pStyle w:val="TableListBullet"/>
              <w:spacing w:after="0"/>
              <w:rPr>
                <w:sz w:val="20"/>
                <w:szCs w:val="20"/>
              </w:rPr>
            </w:pPr>
            <w:r w:rsidRPr="00767C2F">
              <w:rPr>
                <w:sz w:val="20"/>
                <w:szCs w:val="20"/>
              </w:rPr>
              <w:t>Implementation issues</w:t>
            </w:r>
          </w:p>
          <w:p w14:paraId="0FCE9374" w14:textId="77777777" w:rsidR="00F66A19" w:rsidRPr="00767C2F" w:rsidRDefault="00F66A19" w:rsidP="00F66A19">
            <w:pPr>
              <w:pStyle w:val="TableListBullet"/>
              <w:spacing w:after="0"/>
              <w:rPr>
                <w:sz w:val="20"/>
                <w:szCs w:val="20"/>
              </w:rPr>
            </w:pPr>
            <w:r w:rsidRPr="00767C2F">
              <w:rPr>
                <w:sz w:val="20"/>
                <w:szCs w:val="20"/>
              </w:rPr>
              <w:t>Operations issues</w:t>
            </w:r>
          </w:p>
          <w:p w14:paraId="02FB9173" w14:textId="77777777" w:rsidR="00F66A19" w:rsidRPr="00767C2F" w:rsidRDefault="00F66A19" w:rsidP="00F66A19">
            <w:pPr>
              <w:pStyle w:val="TableListBullet"/>
              <w:spacing w:after="0"/>
              <w:rPr>
                <w:sz w:val="20"/>
                <w:szCs w:val="20"/>
              </w:rPr>
            </w:pPr>
            <w:r w:rsidRPr="00767C2F">
              <w:rPr>
                <w:sz w:val="20"/>
                <w:szCs w:val="20"/>
              </w:rPr>
              <w:t>Procurement</w:t>
            </w:r>
          </w:p>
          <w:p w14:paraId="0807A71F" w14:textId="77777777" w:rsidR="00F66A19" w:rsidRPr="00767C2F" w:rsidRDefault="00F66A19" w:rsidP="00F66A19">
            <w:pPr>
              <w:pStyle w:val="TableListBullet"/>
              <w:spacing w:after="0"/>
              <w:rPr>
                <w:sz w:val="20"/>
                <w:szCs w:val="20"/>
              </w:rPr>
            </w:pPr>
            <w:r w:rsidRPr="00767C2F">
              <w:rPr>
                <w:sz w:val="20"/>
                <w:szCs w:val="20"/>
              </w:rPr>
              <w:t>Costs and benefits</w:t>
            </w:r>
          </w:p>
          <w:p w14:paraId="28A30889" w14:textId="77777777" w:rsidR="00605598" w:rsidRPr="00767C2F" w:rsidRDefault="00F66A19" w:rsidP="00F66A19">
            <w:pPr>
              <w:pStyle w:val="TableListBullet"/>
              <w:spacing w:after="0"/>
              <w:rPr>
                <w:sz w:val="20"/>
                <w:szCs w:val="20"/>
              </w:rPr>
            </w:pPr>
            <w:r w:rsidRPr="00767C2F">
              <w:rPr>
                <w:sz w:val="20"/>
                <w:szCs w:val="20"/>
              </w:rPr>
              <w:t>Recommendations and lessons learned</w:t>
            </w:r>
          </w:p>
          <w:p w14:paraId="118B4A0D" w14:textId="77777777" w:rsidR="00F66A19" w:rsidRPr="00767C2F" w:rsidRDefault="00F66A19" w:rsidP="00F66A19">
            <w:pPr>
              <w:pStyle w:val="TableListBullet"/>
              <w:spacing w:after="0"/>
              <w:rPr>
                <w:kern w:val="0"/>
                <w:sz w:val="20"/>
                <w:szCs w:val="20"/>
              </w:rPr>
            </w:pPr>
            <w:r w:rsidRPr="00767C2F">
              <w:rPr>
                <w:sz w:val="20"/>
                <w:szCs w:val="20"/>
              </w:rPr>
              <w:t>Hardware installation</w:t>
            </w:r>
          </w:p>
          <w:p w14:paraId="27A49A98" w14:textId="77777777" w:rsidR="00F66A19" w:rsidRPr="00767C2F" w:rsidRDefault="00F66A19" w:rsidP="00F66A19">
            <w:pPr>
              <w:pStyle w:val="TableListBullet"/>
              <w:spacing w:after="0"/>
              <w:rPr>
                <w:sz w:val="20"/>
                <w:szCs w:val="20"/>
              </w:rPr>
            </w:pPr>
            <w:r w:rsidRPr="00767C2F">
              <w:rPr>
                <w:sz w:val="20"/>
                <w:szCs w:val="20"/>
              </w:rPr>
              <w:t>Technology issues and testing</w:t>
            </w:r>
          </w:p>
          <w:p w14:paraId="70CB8E72" w14:textId="77777777" w:rsidR="00F66A19" w:rsidRPr="00767C2F" w:rsidRDefault="00F66A19" w:rsidP="005220C8">
            <w:pPr>
              <w:pStyle w:val="TableListBullet"/>
              <w:spacing w:after="0"/>
              <w:rPr>
                <w:sz w:val="20"/>
                <w:szCs w:val="20"/>
              </w:rPr>
            </w:pPr>
            <w:r w:rsidRPr="00767C2F">
              <w:rPr>
                <w:sz w:val="20"/>
                <w:szCs w:val="20"/>
              </w:rPr>
              <w:t>Operations</w:t>
            </w:r>
            <w:r w:rsidR="005220C8" w:rsidRPr="00767C2F">
              <w:rPr>
                <w:sz w:val="20"/>
                <w:szCs w:val="20"/>
              </w:rPr>
              <w:t xml:space="preserve"> and </w:t>
            </w:r>
            <w:r w:rsidRPr="00767C2F">
              <w:rPr>
                <w:sz w:val="20"/>
                <w:szCs w:val="20"/>
              </w:rPr>
              <w:t>Maintenance</w:t>
            </w:r>
          </w:p>
        </w:tc>
      </w:tr>
    </w:tbl>
    <w:p w14:paraId="7396DE3A" w14:textId="77777777" w:rsidR="00BD0B73" w:rsidRPr="00C367DE" w:rsidRDefault="00BD0B73" w:rsidP="00C367DE"/>
    <w:p w14:paraId="7DD84895" w14:textId="77777777" w:rsidR="00297A94" w:rsidRDefault="00297A94">
      <w:pPr>
        <w:tabs>
          <w:tab w:val="clear" w:pos="284"/>
        </w:tabs>
        <w:spacing w:line="240" w:lineRule="auto"/>
        <w:rPr>
          <w:rFonts w:asciiTheme="majorHAnsi" w:eastAsiaTheme="majorEastAsia" w:hAnsiTheme="majorHAnsi" w:cstheme="majorBidi"/>
          <w:b/>
          <w:bCs/>
          <w:color w:val="00B5E2" w:themeColor="accent1"/>
          <w:sz w:val="32"/>
          <w:szCs w:val="28"/>
        </w:rPr>
      </w:pPr>
      <w:r>
        <w:br w:type="page"/>
      </w:r>
    </w:p>
    <w:p w14:paraId="6D658386" w14:textId="77777777" w:rsidR="00472BDD" w:rsidRDefault="00472BDD" w:rsidP="00472BDD">
      <w:pPr>
        <w:pStyle w:val="Heading1"/>
      </w:pPr>
      <w:bookmarkStart w:id="22" w:name="_Toc508894690"/>
      <w:r w:rsidRPr="00472BDD">
        <w:lastRenderedPageBreak/>
        <w:t>Degree of AVL/GPS Implementation</w:t>
      </w:r>
      <w:bookmarkEnd w:id="22"/>
    </w:p>
    <w:p w14:paraId="6A738E35" w14:textId="77777777" w:rsidR="00472BDD" w:rsidRDefault="00F66A19" w:rsidP="00472BDD">
      <w:pPr>
        <w:pStyle w:val="BodyText"/>
      </w:pPr>
      <w:r>
        <w:t xml:space="preserve">This section of the report outlines the extent to which </w:t>
      </w:r>
      <w:r w:rsidR="00D129EC">
        <w:t>AVL/GPS</w:t>
      </w:r>
      <w:r>
        <w:t xml:space="preserve"> technology has been deployed for WisDOT winter maintenance operations</w:t>
      </w:r>
    </w:p>
    <w:p w14:paraId="6E23820F" w14:textId="77777777" w:rsidR="00472BDD" w:rsidRDefault="00D129EC" w:rsidP="00472BDD">
      <w:pPr>
        <w:pStyle w:val="Heading2"/>
      </w:pPr>
      <w:bookmarkStart w:id="23" w:name="_Toc508894691"/>
      <w:r>
        <w:t>AVL/GPS</w:t>
      </w:r>
      <w:r w:rsidR="00472BDD">
        <w:t xml:space="preserve"> </w:t>
      </w:r>
      <w:r w:rsidR="00830E1F">
        <w:t>Project Background</w:t>
      </w:r>
      <w:bookmarkEnd w:id="23"/>
    </w:p>
    <w:p w14:paraId="63416E7C" w14:textId="2EDFB47D" w:rsidR="00830E1F" w:rsidRDefault="00830E1F" w:rsidP="00830E1F">
      <w:pPr>
        <w:spacing w:line="240" w:lineRule="auto"/>
      </w:pPr>
      <w:r>
        <w:t xml:space="preserve">WisDOT displayed an early interest in </w:t>
      </w:r>
      <w:r w:rsidR="00D129EC">
        <w:t>AVL/GPS</w:t>
      </w:r>
      <w:r>
        <w:t xml:space="preserve"> technology for winter maintenance operations, dating back to about 2002, based on the state’s involvement in the Clear Roads pooled fund program and the MDSS pooled fund program.  WisDOT staff in the Madison office were also able to observe how Dane County, which includes the City of Madison, had become the first </w:t>
      </w:r>
      <w:r w:rsidR="00101D49">
        <w:t>c</w:t>
      </w:r>
      <w:r>
        <w:t xml:space="preserve">ounty in the state to implement an AVL system on their </w:t>
      </w:r>
      <w:r w:rsidR="00101D49">
        <w:t>c</w:t>
      </w:r>
      <w:r>
        <w:t xml:space="preserve">ounty vehicles for the purpose of monitoring vehicle location.  </w:t>
      </w:r>
    </w:p>
    <w:p w14:paraId="603880C2" w14:textId="77777777" w:rsidR="00830E1F" w:rsidRDefault="00830E1F" w:rsidP="00830E1F">
      <w:pPr>
        <w:spacing w:line="240" w:lineRule="auto"/>
      </w:pPr>
    </w:p>
    <w:p w14:paraId="72B07A06" w14:textId="77777777" w:rsidR="002B027A" w:rsidRDefault="00830E1F" w:rsidP="00BD0B73">
      <w:pPr>
        <w:spacing w:line="240" w:lineRule="auto"/>
      </w:pPr>
      <w:r>
        <w:t xml:space="preserve">In February 2008, a severe winter storm hit southeastern Wisconsin and dropped about 20 inches of snow in the Madison area.  During the storm, state agencies were slow to recognize the scale of the storm and the extent of the emergency, as thousands of motorists were stranded on northbound I-39 between Madison and Janesville in both Dane and Rock Counties.  A post storm review </w:t>
      </w:r>
      <w:r w:rsidR="009F506A">
        <w:t>revealed</w:t>
      </w:r>
      <w:r>
        <w:t xml:space="preserve"> that WisDOT could not </w:t>
      </w:r>
      <w:r w:rsidR="009F506A">
        <w:t>identify</w:t>
      </w:r>
      <w:r>
        <w:t xml:space="preserve"> the location</w:t>
      </w:r>
      <w:r w:rsidR="009F506A">
        <w:t>s</w:t>
      </w:r>
      <w:r>
        <w:t xml:space="preserve"> of winter maintenance assets in a timely manner that would have improved the overall incident response to stranded motorists.  </w:t>
      </w:r>
      <w:r w:rsidR="00625962">
        <w:t>As such</w:t>
      </w:r>
      <w:r>
        <w:t xml:space="preserve">, WisDOT determined to </w:t>
      </w:r>
      <w:r w:rsidR="00625962">
        <w:t>implement</w:t>
      </w:r>
      <w:r>
        <w:t xml:space="preserve"> an </w:t>
      </w:r>
      <w:r w:rsidR="00D129EC">
        <w:t>AVL/GPS</w:t>
      </w:r>
      <w:r>
        <w:t xml:space="preserve"> system for all </w:t>
      </w:r>
      <w:r w:rsidR="00625962">
        <w:t xml:space="preserve">winter maintenance </w:t>
      </w:r>
      <w:r>
        <w:t xml:space="preserve">vehicles </w:t>
      </w:r>
      <w:r w:rsidR="00625962">
        <w:t>on the Interstates and State highways in 2009</w:t>
      </w:r>
      <w:r>
        <w:t>.</w:t>
      </w:r>
    </w:p>
    <w:p w14:paraId="7746396E" w14:textId="77777777" w:rsidR="00BD0B73" w:rsidRDefault="00BD0B73" w:rsidP="00472BDD">
      <w:pPr>
        <w:pStyle w:val="Heading2"/>
      </w:pPr>
      <w:bookmarkStart w:id="24" w:name="_Toc508894692"/>
      <w:r>
        <w:t xml:space="preserve">Size of </w:t>
      </w:r>
      <w:r w:rsidR="00D129EC">
        <w:t>AVL/GPS</w:t>
      </w:r>
      <w:r>
        <w:t xml:space="preserve"> Implementation</w:t>
      </w:r>
      <w:bookmarkEnd w:id="24"/>
    </w:p>
    <w:p w14:paraId="5C161789" w14:textId="66A62463" w:rsidR="00BD0B73" w:rsidRDefault="00BD0B73" w:rsidP="00BD0B73">
      <w:pPr>
        <w:pStyle w:val="BodyText"/>
      </w:pPr>
      <w:r>
        <w:t xml:space="preserve">WisDOT has procured </w:t>
      </w:r>
      <w:r w:rsidR="00D129EC">
        <w:t>AVL/GPS</w:t>
      </w:r>
      <w:r>
        <w:t xml:space="preserve"> equipment for approximately 400 snow plows </w:t>
      </w:r>
      <w:r w:rsidR="009F506A">
        <w:t xml:space="preserve">that are dedicated to winter maintenance on Interstates and State highways </w:t>
      </w:r>
      <w:r>
        <w:t xml:space="preserve">throughout the state.  The total snow plow fleet size managed by </w:t>
      </w:r>
      <w:r w:rsidR="00101D49">
        <w:t>c</w:t>
      </w:r>
      <w:r>
        <w:t>ounties is estimated to be approximately 750 snow plows throughout the state.</w:t>
      </w:r>
    </w:p>
    <w:p w14:paraId="5691D63C" w14:textId="2F4B6FB7" w:rsidR="002B027A" w:rsidRPr="00BD0B73" w:rsidRDefault="002B027A" w:rsidP="002B027A">
      <w:pPr>
        <w:spacing w:line="240" w:lineRule="auto"/>
      </w:pPr>
      <w:r w:rsidRPr="002B027A">
        <w:t xml:space="preserve">WisDOT </w:t>
      </w:r>
      <w:r>
        <w:t xml:space="preserve">was also </w:t>
      </w:r>
      <w:r w:rsidRPr="002B027A">
        <w:t xml:space="preserve">involved at an early stage with MDSS testing and development, and once the </w:t>
      </w:r>
      <w:r w:rsidR="00D129EC">
        <w:t>AVL/GPS</w:t>
      </w:r>
      <w:r w:rsidRPr="002B027A">
        <w:t xml:space="preserve"> system had been installed on </w:t>
      </w:r>
      <w:r w:rsidR="00101D49">
        <w:t>c</w:t>
      </w:r>
      <w:r w:rsidRPr="002B027A">
        <w:t xml:space="preserve">ounty vehicles, WisDOT entered into an agreement with Iteris for the connection of real-time data from the </w:t>
      </w:r>
      <w:r w:rsidR="00D129EC">
        <w:t>AVL/GPS</w:t>
      </w:r>
      <w:r w:rsidRPr="002B027A">
        <w:t xml:space="preserve"> system into an MDSS software interface.</w:t>
      </w:r>
    </w:p>
    <w:p w14:paraId="33D4921E" w14:textId="77777777" w:rsidR="00472BDD" w:rsidRDefault="00D129EC" w:rsidP="00472BDD">
      <w:pPr>
        <w:pStyle w:val="Heading2"/>
      </w:pPr>
      <w:bookmarkStart w:id="25" w:name="_Toc508894693"/>
      <w:r>
        <w:t>AVL/GPS</w:t>
      </w:r>
      <w:r w:rsidR="00472BDD">
        <w:t xml:space="preserve"> Vendor Solution</w:t>
      </w:r>
      <w:bookmarkEnd w:id="25"/>
    </w:p>
    <w:p w14:paraId="7CF645F6" w14:textId="77777777" w:rsidR="00A634BA" w:rsidRDefault="00625962" w:rsidP="00A634BA">
      <w:pPr>
        <w:spacing w:line="240" w:lineRule="auto"/>
      </w:pPr>
      <w:r>
        <w:t xml:space="preserve">WisDOT and the county highway departments began purchasing </w:t>
      </w:r>
      <w:r w:rsidR="00D129EC">
        <w:t>AVL/GPS</w:t>
      </w:r>
      <w:r w:rsidR="002E5A2C">
        <w:t xml:space="preserve"> </w:t>
      </w:r>
      <w:r>
        <w:t>equipment</w:t>
      </w:r>
      <w:r w:rsidR="002E5A2C">
        <w:t xml:space="preserve"> </w:t>
      </w:r>
      <w:r>
        <w:t xml:space="preserve">from </w:t>
      </w:r>
      <w:r w:rsidR="002E5A2C">
        <w:t>PreCise Mobile Resource Management (MRM) system</w:t>
      </w:r>
      <w:r>
        <w:t xml:space="preserve"> in 2009</w:t>
      </w:r>
      <w:r w:rsidR="002E5A2C">
        <w:t>.</w:t>
      </w:r>
      <w:r w:rsidR="00A634BA">
        <w:t xml:space="preserve">  </w:t>
      </w:r>
      <w:r w:rsidR="00053BE8">
        <w:t xml:space="preserve">The use of the PreCise AVL system was based on the experience from Dane County system and </w:t>
      </w:r>
      <w:r w:rsidR="00392010">
        <w:t xml:space="preserve">the ability for WisDOT to use the Dane County procurement for statewide procurement. </w:t>
      </w:r>
      <w:r w:rsidR="00053BE8">
        <w:t xml:space="preserve"> </w:t>
      </w:r>
      <w:r>
        <w:t xml:space="preserve">Also, spreader </w:t>
      </w:r>
      <w:r w:rsidR="00726112">
        <w:t>controllers</w:t>
      </w:r>
      <w:r>
        <w:t xml:space="preserve"> on county snow plows are mainly Force America series 5100 and 6100</w:t>
      </w:r>
      <w:r w:rsidR="00D940C7">
        <w:t xml:space="preserve">.  </w:t>
      </w:r>
      <w:r w:rsidR="00A634BA">
        <w:t xml:space="preserve">In 2009, Force America acquired </w:t>
      </w:r>
      <w:r w:rsidR="00185F80">
        <w:t>PreCise</w:t>
      </w:r>
      <w:r w:rsidR="00A634BA">
        <w:t xml:space="preserve"> MRM, which became a subsidiary of the Force America </w:t>
      </w:r>
      <w:r w:rsidR="00726112">
        <w:t>Company</w:t>
      </w:r>
      <w:r w:rsidR="00A634BA">
        <w:t xml:space="preserve">.  </w:t>
      </w:r>
      <w:r w:rsidR="00D940C7">
        <w:t>The use of the PreCise AVL system made the integration with spreader controllers less challenging.</w:t>
      </w:r>
    </w:p>
    <w:p w14:paraId="0EE6EFFF" w14:textId="77777777" w:rsidR="002E5A2C" w:rsidRDefault="002E5A2C" w:rsidP="002E5A2C">
      <w:pPr>
        <w:spacing w:line="240" w:lineRule="auto"/>
      </w:pPr>
    </w:p>
    <w:p w14:paraId="4C91C667" w14:textId="77777777" w:rsidR="00392010" w:rsidRDefault="00392010" w:rsidP="002E5A2C">
      <w:pPr>
        <w:spacing w:line="240" w:lineRule="auto"/>
      </w:pPr>
    </w:p>
    <w:p w14:paraId="0F75432D" w14:textId="77777777" w:rsidR="00297A94" w:rsidRDefault="00297A94">
      <w:pPr>
        <w:tabs>
          <w:tab w:val="clear" w:pos="284"/>
        </w:tabs>
        <w:spacing w:line="240" w:lineRule="auto"/>
        <w:rPr>
          <w:rFonts w:asciiTheme="majorHAnsi" w:eastAsiaTheme="majorEastAsia" w:hAnsiTheme="majorHAnsi" w:cstheme="majorBidi"/>
          <w:b/>
          <w:bCs/>
          <w:color w:val="00B5E2" w:themeColor="accent1"/>
          <w:sz w:val="32"/>
          <w:szCs w:val="28"/>
        </w:rPr>
      </w:pPr>
      <w:r>
        <w:br w:type="page"/>
      </w:r>
    </w:p>
    <w:p w14:paraId="209EBC16" w14:textId="77777777" w:rsidR="00472BDD" w:rsidRDefault="00472BDD" w:rsidP="00472BDD">
      <w:pPr>
        <w:pStyle w:val="Heading1"/>
      </w:pPr>
      <w:bookmarkStart w:id="26" w:name="_Toc508894694"/>
      <w:r w:rsidRPr="00472BDD">
        <w:lastRenderedPageBreak/>
        <w:t xml:space="preserve">Level of </w:t>
      </w:r>
      <w:r>
        <w:t xml:space="preserve">System </w:t>
      </w:r>
      <w:r w:rsidRPr="00472BDD">
        <w:t>Integration</w:t>
      </w:r>
      <w:bookmarkEnd w:id="26"/>
    </w:p>
    <w:p w14:paraId="04A26E50" w14:textId="77777777" w:rsidR="00472BDD" w:rsidRDefault="00472BDD" w:rsidP="00472BDD">
      <w:pPr>
        <w:pStyle w:val="Heading2"/>
      </w:pPr>
      <w:bookmarkStart w:id="27" w:name="_Toc508894695"/>
      <w:r>
        <w:t>Vehicle Hardware</w:t>
      </w:r>
      <w:bookmarkEnd w:id="27"/>
    </w:p>
    <w:p w14:paraId="666EB021" w14:textId="77777777" w:rsidR="002906B6" w:rsidRDefault="0051651E" w:rsidP="00472BDD">
      <w:r>
        <w:t xml:space="preserve">The PreCise </w:t>
      </w:r>
      <w:r w:rsidR="00D129EC">
        <w:t>AVL/GPS</w:t>
      </w:r>
      <w:r>
        <w:t xml:space="preserve"> system hardware is pictured in Figure </w:t>
      </w:r>
      <w:r w:rsidR="00392010">
        <w:t>2</w:t>
      </w:r>
      <w:r>
        <w:t xml:space="preserve">.  The </w:t>
      </w:r>
      <w:r w:rsidR="00D129EC">
        <w:t>AVL/GPS</w:t>
      </w:r>
      <w:r>
        <w:t xml:space="preserve"> hardware is typically installed underneath the driver or passenger seats of the vehicle and </w:t>
      </w:r>
      <w:r w:rsidR="00E043F8">
        <w:t xml:space="preserve">connected </w:t>
      </w:r>
      <w:r>
        <w:t xml:space="preserve">to other </w:t>
      </w:r>
      <w:r w:rsidR="00D875E2">
        <w:t>in-vehicle equipment.</w:t>
      </w:r>
    </w:p>
    <w:p w14:paraId="3F67BD40" w14:textId="77777777" w:rsidR="0011006A" w:rsidRDefault="0011006A" w:rsidP="00472BDD"/>
    <w:p w14:paraId="09D4233C" w14:textId="77777777" w:rsidR="004A218F" w:rsidRDefault="00392010" w:rsidP="00472BDD">
      <w:r>
        <w:rPr>
          <w:noProof/>
        </w:rPr>
        <mc:AlternateContent>
          <mc:Choice Requires="wps">
            <w:drawing>
              <wp:anchor distT="0" distB="0" distL="114300" distR="114300" simplePos="0" relativeHeight="251696128" behindDoc="0" locked="0" layoutInCell="1" allowOverlap="1" wp14:anchorId="0D541630" wp14:editId="6DE3E3E3">
                <wp:simplePos x="0" y="0"/>
                <wp:positionH relativeFrom="column">
                  <wp:posOffset>2044460</wp:posOffset>
                </wp:positionH>
                <wp:positionV relativeFrom="paragraph">
                  <wp:posOffset>1069676</wp:posOffset>
                </wp:positionV>
                <wp:extent cx="2147978" cy="172084"/>
                <wp:effectExtent l="38100" t="114300" r="5080" b="19050"/>
                <wp:wrapNone/>
                <wp:docPr id="16" name="Straight Arrow Connector 16"/>
                <wp:cNvGraphicFramePr/>
                <a:graphic xmlns:a="http://schemas.openxmlformats.org/drawingml/2006/main">
                  <a:graphicData uri="http://schemas.microsoft.com/office/word/2010/wordprocessingShape">
                    <wps:wsp>
                      <wps:cNvCnPr/>
                      <wps:spPr>
                        <a:xfrm flipH="1" flipV="1">
                          <a:off x="0" y="0"/>
                          <a:ext cx="2147978" cy="172084"/>
                        </a:xfrm>
                        <a:prstGeom prst="straightConnector1">
                          <a:avLst/>
                        </a:prstGeom>
                        <a:ln w="28575">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D516197" id="_x0000_t32" coordsize="21600,21600" o:spt="32" o:oned="t" path="m,l21600,21600e" filled="f">
                <v:path arrowok="t" fillok="f" o:connecttype="none"/>
                <o:lock v:ext="edit" shapetype="t"/>
              </v:shapetype>
              <v:shape id="Straight Arrow Connector 16" o:spid="_x0000_s1026" type="#_x0000_t32" style="position:absolute;margin-left:161pt;margin-top:84.25pt;width:169.15pt;height:13.55pt;flip:x y;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" strokecolor="red" strokeweight="2.25pt">
                <v:stroke endarrow="open"/>
              </v:shape>
            </w:pict>
          </mc:Fallback>
        </mc:AlternateContent>
      </w:r>
      <w:r>
        <w:rPr>
          <w:noProof/>
        </w:rPr>
        <mc:AlternateContent>
          <mc:Choice Requires="wps">
            <w:drawing>
              <wp:anchor distT="0" distB="0" distL="114300" distR="114300" simplePos="0" relativeHeight="251695104" behindDoc="0" locked="0" layoutInCell="1" allowOverlap="1" wp14:anchorId="5AAA5AFF" wp14:editId="5471D941">
                <wp:simplePos x="0" y="0"/>
                <wp:positionH relativeFrom="column">
                  <wp:posOffset>4192438</wp:posOffset>
                </wp:positionH>
                <wp:positionV relativeFrom="paragraph">
                  <wp:posOffset>828135</wp:posOffset>
                </wp:positionV>
                <wp:extent cx="845388" cy="896931"/>
                <wp:effectExtent l="0" t="0" r="12065" b="17780"/>
                <wp:wrapNone/>
                <wp:docPr id="15" name="Oval 15"/>
                <wp:cNvGraphicFramePr/>
                <a:graphic xmlns:a="http://schemas.openxmlformats.org/drawingml/2006/main">
                  <a:graphicData uri="http://schemas.microsoft.com/office/word/2010/wordprocessingShape">
                    <wps:wsp>
                      <wps:cNvSpPr/>
                      <wps:spPr>
                        <a:xfrm>
                          <a:off x="0" y="0"/>
                          <a:ext cx="845388" cy="89693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46F0143C" id="Oval 15" o:spid="_x0000_s1026" style="position:absolute;margin-left:330.1pt;margin-top:65.2pt;width:66.55pt;height:70.6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" filled="f" strokecolor="red" strokeweight="2pt"/>
            </w:pict>
          </mc:Fallback>
        </mc:AlternateContent>
      </w:r>
      <w:r w:rsidR="0051651E" w:rsidRPr="0051651E">
        <w:rPr>
          <w:noProof/>
        </w:rPr>
        <w:drawing>
          <wp:inline distT="0" distB="0" distL="0" distR="0" wp14:anchorId="2EA86CAE" wp14:editId="0E5E0F6E">
            <wp:extent cx="2926080" cy="2194560"/>
            <wp:effectExtent l="0" t="0" r="7620" b="0"/>
            <wp:docPr id="11" name="Picture 11" descr="P:\Trans\60535309 AVL Case Studies\400-Technical\433-Case Study Work\Case Study Reports\Tier 3B -- Wisconsin DOT\WisDOT Photos\For Report\IMG_1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rans\60535309 AVL Case Studies\400-Technical\433-Case Study Work\Case Study Reports\Tier 3B -- Wisconsin DOT\WisDOT Photos\For Report\IMG_106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r w:rsidR="0051651E">
        <w:t xml:space="preserve"> </w:t>
      </w:r>
      <w:r w:rsidR="0051651E" w:rsidRPr="0051651E">
        <w:rPr>
          <w:noProof/>
        </w:rPr>
        <w:drawing>
          <wp:inline distT="0" distB="0" distL="0" distR="0" wp14:anchorId="498295A0" wp14:editId="31B2EA7A">
            <wp:extent cx="2926080" cy="2194560"/>
            <wp:effectExtent l="0" t="0" r="7620" b="0"/>
            <wp:docPr id="10" name="Picture 10" descr="P:\Trans\60535309 AVL Case Studies\400-Technical\433-Case Study Work\Case Study Reports\Tier 3B -- Wisconsin DOT\WisDOT Photos\For Report\IMG_10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Trans\60535309 AVL Case Studies\400-Technical\433-Case Study Work\Case Study Reports\Tier 3B -- Wisconsin DOT\WisDOT Photos\For Report\IMG_107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2A586640" w14:textId="3EB89BA9" w:rsidR="00E043F8" w:rsidRDefault="00392010" w:rsidP="00392010">
      <w:pPr>
        <w:pStyle w:val="Caption"/>
      </w:pPr>
      <w:bookmarkStart w:id="28" w:name="_Toc513818303"/>
      <w:r>
        <w:t xml:space="preserve">Figure </w:t>
      </w:r>
      <w:r>
        <w:fldChar w:fldCharType="begin"/>
      </w:r>
      <w:r>
        <w:instrText xml:space="preserve"> SEQ Figure \* ARABIC </w:instrText>
      </w:r>
      <w:r>
        <w:fldChar w:fldCharType="separate"/>
      </w:r>
      <w:r w:rsidR="00E16E42">
        <w:rPr>
          <w:noProof/>
        </w:rPr>
        <w:t>2</w:t>
      </w:r>
      <w:r>
        <w:fldChar w:fldCharType="end"/>
      </w:r>
      <w:r w:rsidR="00E043F8" w:rsidRPr="005220C8">
        <w:t xml:space="preserve">. </w:t>
      </w:r>
      <w:r w:rsidR="00E043F8">
        <w:t xml:space="preserve">Location of </w:t>
      </w:r>
      <w:r w:rsidR="00185F80">
        <w:t>PreCise</w:t>
      </w:r>
      <w:r w:rsidR="00E043F8">
        <w:t xml:space="preserve"> </w:t>
      </w:r>
      <w:r w:rsidR="00D129EC">
        <w:t>AVL/GPS</w:t>
      </w:r>
      <w:r w:rsidR="00E043F8">
        <w:t xml:space="preserve"> Equipment in Sauk County Vehicle</w:t>
      </w:r>
      <w:bookmarkEnd w:id="28"/>
    </w:p>
    <w:p w14:paraId="1C577A99" w14:textId="77777777" w:rsidR="003A38C5" w:rsidRDefault="003A38C5" w:rsidP="00297A94">
      <w:pPr>
        <w:pStyle w:val="BodyText"/>
        <w:spacing w:after="0"/>
      </w:pPr>
    </w:p>
    <w:p w14:paraId="6306EEC9" w14:textId="12D3A3F0" w:rsidR="0011006A" w:rsidRPr="0011006A" w:rsidRDefault="0011006A" w:rsidP="0011006A">
      <w:pPr>
        <w:pStyle w:val="BodyText"/>
      </w:pPr>
      <w:r>
        <w:t xml:space="preserve">The </w:t>
      </w:r>
      <w:r w:rsidR="00185F80">
        <w:t>PreCise</w:t>
      </w:r>
      <w:r>
        <w:t xml:space="preserve"> </w:t>
      </w:r>
      <w:r w:rsidR="00D129EC">
        <w:t>AVL/GPS</w:t>
      </w:r>
      <w:r>
        <w:t xml:space="preserve"> System antennae are depicted in Figure </w:t>
      </w:r>
      <w:r w:rsidR="00392010">
        <w:t>3</w:t>
      </w:r>
      <w:r>
        <w:t xml:space="preserve">.  There are two antennae provided with the </w:t>
      </w:r>
      <w:r w:rsidR="00D129EC">
        <w:t>AVL/GPS</w:t>
      </w:r>
      <w:r>
        <w:t xml:space="preserve"> system.  One antenna provides the equipment with a cellular connection for data reporting, and the other antenna is utilized for GPS positioning, as well as for potential Wi-Fi connections that may be established in </w:t>
      </w:r>
      <w:r w:rsidR="00101D49">
        <w:t>c</w:t>
      </w:r>
      <w:r w:rsidR="001A3682">
        <w:t xml:space="preserve">ounty </w:t>
      </w:r>
      <w:r w:rsidR="00297A94">
        <w:t>maintenance garages.</w:t>
      </w:r>
    </w:p>
    <w:p w14:paraId="1C037F7F" w14:textId="77777777" w:rsidR="003A38C5" w:rsidRDefault="003A38C5" w:rsidP="00297A94">
      <w:pPr>
        <w:pStyle w:val="BodyText"/>
        <w:jc w:val="center"/>
      </w:pPr>
      <w:r w:rsidRPr="003A38C5">
        <w:rPr>
          <w:noProof/>
        </w:rPr>
        <w:drawing>
          <wp:inline distT="0" distB="0" distL="0" distR="0" wp14:anchorId="37DA0B82" wp14:editId="42F8551D">
            <wp:extent cx="2926080" cy="2194560"/>
            <wp:effectExtent l="0" t="0" r="7620" b="0"/>
            <wp:docPr id="27" name="Picture 27" descr="P:\Trans\60535309 AVL Case Studies\400-Technical\433-Case Study Work\Case Study Reports\Tier 3B -- Wisconsin DOT\WisDOT Photos\For Report\IMG_1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Trans\60535309 AVL Case Studies\400-Technical\433-Case Study Work\Case Study Reports\Tier 3B -- Wisconsin DOT\WisDOT Photos\For Report\IMG_108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4D3EE2E2" w14:textId="0D2A6B68" w:rsidR="003A38C5" w:rsidRDefault="003A38C5" w:rsidP="00767C2F">
      <w:pPr>
        <w:pStyle w:val="Caption"/>
      </w:pPr>
      <w:bookmarkStart w:id="29" w:name="_Toc513818304"/>
      <w:r>
        <w:t xml:space="preserve">Figure </w:t>
      </w:r>
      <w:r>
        <w:fldChar w:fldCharType="begin"/>
      </w:r>
      <w:r>
        <w:instrText xml:space="preserve"> SEQ Figure \* ARABIC </w:instrText>
      </w:r>
      <w:r>
        <w:fldChar w:fldCharType="separate"/>
      </w:r>
      <w:r w:rsidR="00E16E42">
        <w:rPr>
          <w:noProof/>
        </w:rPr>
        <w:t>3</w:t>
      </w:r>
      <w:r>
        <w:fldChar w:fldCharType="end"/>
      </w:r>
      <w:r>
        <w:t xml:space="preserve">. </w:t>
      </w:r>
      <w:r w:rsidR="00185F80">
        <w:t>PreCise</w:t>
      </w:r>
      <w:r w:rsidR="0011006A">
        <w:t xml:space="preserve"> </w:t>
      </w:r>
      <w:r w:rsidR="00D129EC">
        <w:t>AVL/GPS</w:t>
      </w:r>
      <w:r w:rsidR="0011006A">
        <w:t xml:space="preserve"> System Antennae for Cellular and GPS / Wi-Fi Connection</w:t>
      </w:r>
      <w:bookmarkEnd w:id="29"/>
    </w:p>
    <w:p w14:paraId="0092D757" w14:textId="77777777" w:rsidR="0011006A" w:rsidRDefault="0011006A" w:rsidP="0011006A">
      <w:pPr>
        <w:spacing w:line="240" w:lineRule="auto"/>
        <w:contextualSpacing/>
      </w:pPr>
    </w:p>
    <w:p w14:paraId="1C5BD2EA" w14:textId="77777777" w:rsidR="004019E0" w:rsidRDefault="004019E0" w:rsidP="0011006A">
      <w:pPr>
        <w:spacing w:line="240" w:lineRule="auto"/>
        <w:contextualSpacing/>
      </w:pPr>
      <w:r>
        <w:t>Sauk County maintenance staff presented different snow plow vehicles of different ages for review for the project.  The in-</w:t>
      </w:r>
      <w:r w:rsidR="00D875E2">
        <w:t xml:space="preserve">vehicle </w:t>
      </w:r>
      <w:r>
        <w:t xml:space="preserve">view of the different vehicles is presented in Figure </w:t>
      </w:r>
      <w:r w:rsidR="00392010">
        <w:t>4</w:t>
      </w:r>
      <w:r>
        <w:t xml:space="preserve">.  </w:t>
      </w:r>
      <w:r w:rsidR="00D875E2">
        <w:t>The image on the left is representative of newer vehicles that Sauk County purchases, while the image on the right is representative of older vehicles maintained by the County.</w:t>
      </w:r>
    </w:p>
    <w:p w14:paraId="09B7183B" w14:textId="77777777" w:rsidR="004019E0" w:rsidRDefault="004019E0" w:rsidP="0011006A">
      <w:pPr>
        <w:spacing w:line="240" w:lineRule="auto"/>
        <w:contextualSpacing/>
      </w:pPr>
    </w:p>
    <w:p w14:paraId="50293768" w14:textId="77777777" w:rsidR="004019E0" w:rsidRDefault="004019E0" w:rsidP="0011006A">
      <w:pPr>
        <w:spacing w:line="240" w:lineRule="auto"/>
        <w:contextualSpacing/>
      </w:pPr>
      <w:r w:rsidRPr="004019E0">
        <w:rPr>
          <w:noProof/>
        </w:rPr>
        <w:lastRenderedPageBreak/>
        <w:drawing>
          <wp:inline distT="0" distB="0" distL="0" distR="0" wp14:anchorId="4BE62009" wp14:editId="5667E5B1">
            <wp:extent cx="2926080" cy="2194560"/>
            <wp:effectExtent l="0" t="0" r="7620" b="0"/>
            <wp:docPr id="30" name="Picture 30" descr="P:\Trans\60535309 AVL Case Studies\400-Technical\433-Case Study Work\Case Study Reports\Tier 3B -- Wisconsin DOT\WisDOT Photos\For Report\IMAG83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Trans\60535309 AVL Case Studies\400-Technical\433-Case Study Work\Case Study Reports\Tier 3B -- Wisconsin DOT\WisDOT Photos\For Report\IMAG8398.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r="25000"/>
                    <a:stretch/>
                  </pic:blipFill>
                  <pic:spPr bwMode="auto">
                    <a:xfrm>
                      <a:off x="0" y="0"/>
                      <a:ext cx="2926080" cy="2194560"/>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sidRPr="004019E0">
        <w:rPr>
          <w:noProof/>
        </w:rPr>
        <w:drawing>
          <wp:inline distT="0" distB="0" distL="0" distR="0" wp14:anchorId="6AE38AC5" wp14:editId="364F8EBE">
            <wp:extent cx="2926080" cy="2194560"/>
            <wp:effectExtent l="0" t="0" r="7620" b="0"/>
            <wp:docPr id="29" name="Picture 29" descr="P:\Trans\60535309 AVL Case Studies\400-Technical\433-Case Study Work\Case Study Reports\Tier 3B -- Wisconsin DOT\WisDOT Photos\For Report\IMG_1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Trans\60535309 AVL Case Studies\400-Technical\433-Case Study Work\Case Study Reports\Tier 3B -- Wisconsin DOT\WisDOT Photos\For Report\IMG_1045.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583F7A2B" w14:textId="46FAF64D" w:rsidR="004019E0" w:rsidRDefault="004019E0" w:rsidP="00767C2F">
      <w:pPr>
        <w:pStyle w:val="Caption"/>
      </w:pPr>
      <w:bookmarkStart w:id="30" w:name="_Toc513818305"/>
      <w:r>
        <w:t xml:space="preserve">Figure </w:t>
      </w:r>
      <w:r>
        <w:fldChar w:fldCharType="begin"/>
      </w:r>
      <w:r>
        <w:instrText xml:space="preserve"> SEQ Figure \* ARABIC </w:instrText>
      </w:r>
      <w:r>
        <w:fldChar w:fldCharType="separate"/>
      </w:r>
      <w:r w:rsidR="00E16E42">
        <w:rPr>
          <w:noProof/>
        </w:rPr>
        <w:t>4</w:t>
      </w:r>
      <w:r>
        <w:fldChar w:fldCharType="end"/>
      </w:r>
      <w:r>
        <w:t xml:space="preserve">. </w:t>
      </w:r>
      <w:r w:rsidR="006E510D">
        <w:t xml:space="preserve">Sauk County In-Vehicle </w:t>
      </w:r>
      <w:r w:rsidR="00D875E2">
        <w:t>Equipment Installation</w:t>
      </w:r>
      <w:bookmarkEnd w:id="30"/>
    </w:p>
    <w:p w14:paraId="163E9CA4" w14:textId="77777777" w:rsidR="004019E0" w:rsidRDefault="004019E0" w:rsidP="0011006A">
      <w:pPr>
        <w:spacing w:line="240" w:lineRule="auto"/>
        <w:contextualSpacing/>
      </w:pPr>
    </w:p>
    <w:p w14:paraId="7B0BEAF5" w14:textId="77777777" w:rsidR="0011006A" w:rsidRDefault="0011006A" w:rsidP="0011006A">
      <w:pPr>
        <w:spacing w:line="240" w:lineRule="auto"/>
        <w:contextualSpacing/>
      </w:pPr>
      <w:r w:rsidRPr="00DB411A">
        <w:t xml:space="preserve">The following </w:t>
      </w:r>
      <w:r>
        <w:t xml:space="preserve">in-vehicle </w:t>
      </w:r>
      <w:r w:rsidRPr="00DB411A">
        <w:t xml:space="preserve">equipment </w:t>
      </w:r>
      <w:r>
        <w:t xml:space="preserve">is </w:t>
      </w:r>
      <w:r w:rsidRPr="00DB411A">
        <w:t>integrated with the AVL/GPS system:</w:t>
      </w:r>
      <w:r>
        <w:t xml:space="preserve"> </w:t>
      </w:r>
      <w:r w:rsidRPr="00DB411A">
        <w:t xml:space="preserve"> </w:t>
      </w:r>
    </w:p>
    <w:p w14:paraId="1341BFBA" w14:textId="77777777" w:rsidR="0011006A" w:rsidRDefault="0011006A" w:rsidP="0011006A">
      <w:pPr>
        <w:spacing w:line="240" w:lineRule="auto"/>
        <w:contextualSpacing/>
      </w:pPr>
    </w:p>
    <w:p w14:paraId="5C650CD3" w14:textId="77777777" w:rsidR="00C63FC9" w:rsidRDefault="00F81D4C" w:rsidP="00C63FC9">
      <w:pPr>
        <w:pStyle w:val="ListBullet"/>
        <w:spacing w:after="0"/>
      </w:pPr>
      <w:r>
        <w:t>Force America S</w:t>
      </w:r>
      <w:r w:rsidR="00C63FC9" w:rsidRPr="00DB411A">
        <w:t xml:space="preserve">preader </w:t>
      </w:r>
      <w:r>
        <w:t>C</w:t>
      </w:r>
      <w:r w:rsidR="00C63FC9" w:rsidRPr="00DB411A">
        <w:t xml:space="preserve">ontrollers </w:t>
      </w:r>
    </w:p>
    <w:p w14:paraId="2BA9D4B8" w14:textId="77777777" w:rsidR="00C63FC9" w:rsidRDefault="00C63FC9" w:rsidP="00C63FC9">
      <w:pPr>
        <w:pStyle w:val="ListBullet"/>
        <w:spacing w:after="0"/>
      </w:pPr>
      <w:r>
        <w:t>A</w:t>
      </w:r>
      <w:r w:rsidRPr="00DB411A">
        <w:t>i</w:t>
      </w:r>
      <w:r>
        <w:t>r</w:t>
      </w:r>
      <w:r w:rsidR="00F81D4C">
        <w:t xml:space="preserve"> </w:t>
      </w:r>
      <w:r>
        <w:t>/</w:t>
      </w:r>
      <w:r w:rsidR="00F81D4C">
        <w:t xml:space="preserve"> pavement </w:t>
      </w:r>
      <w:r>
        <w:t>temperature sensors</w:t>
      </w:r>
    </w:p>
    <w:p w14:paraId="2D52570F" w14:textId="77777777" w:rsidR="00C63FC9" w:rsidRDefault="00F81D4C" w:rsidP="00F81D4C">
      <w:pPr>
        <w:pStyle w:val="ListBullet"/>
        <w:spacing w:after="0"/>
      </w:pPr>
      <w:r>
        <w:t>Plow position sensors</w:t>
      </w:r>
      <w:r w:rsidR="00707E2C">
        <w:t xml:space="preserve"> (front</w:t>
      </w:r>
      <w:r w:rsidR="00B008E3">
        <w:t>, underbody</w:t>
      </w:r>
      <w:r w:rsidR="00707E2C">
        <w:t xml:space="preserve"> and wing plows)</w:t>
      </w:r>
    </w:p>
    <w:p w14:paraId="4AE2A77A" w14:textId="77777777" w:rsidR="00707E2C" w:rsidRDefault="00707E2C" w:rsidP="00F81D4C">
      <w:pPr>
        <w:pStyle w:val="ListBullet"/>
        <w:spacing w:after="0"/>
      </w:pPr>
      <w:r>
        <w:t>Gate sensors</w:t>
      </w:r>
    </w:p>
    <w:p w14:paraId="743FC2AB" w14:textId="77777777" w:rsidR="00645C64" w:rsidRDefault="00645C64" w:rsidP="00F81D4C">
      <w:pPr>
        <w:pStyle w:val="ListBullet"/>
        <w:spacing w:after="0"/>
      </w:pPr>
      <w:r>
        <w:t>Ground speed controllers</w:t>
      </w:r>
    </w:p>
    <w:p w14:paraId="4D1C01AC" w14:textId="77777777" w:rsidR="003A38C5" w:rsidRDefault="003A38C5" w:rsidP="00A634BA">
      <w:pPr>
        <w:spacing w:line="240" w:lineRule="auto"/>
      </w:pPr>
    </w:p>
    <w:p w14:paraId="4678FE86" w14:textId="77777777" w:rsidR="00A634BA" w:rsidRDefault="00A634BA" w:rsidP="00A634BA">
      <w:pPr>
        <w:spacing w:line="240" w:lineRule="auto"/>
      </w:pPr>
      <w:r>
        <w:t xml:space="preserve">Counties primarily </w:t>
      </w:r>
      <w:r w:rsidR="00BF36B5">
        <w:t xml:space="preserve">use </w:t>
      </w:r>
      <w:r>
        <w:t xml:space="preserve">Force America equipment for spreader controllers, with a mixture of 5100 and 6100 models.  </w:t>
      </w:r>
      <w:r w:rsidR="003720EB">
        <w:t xml:space="preserve">Two different 5100 models installed for Sauk County snow plow vehicles are pictured in Figure </w:t>
      </w:r>
      <w:r w:rsidR="00392010">
        <w:t xml:space="preserve">5 </w:t>
      </w:r>
      <w:r w:rsidR="003720EB">
        <w:t>below.</w:t>
      </w:r>
    </w:p>
    <w:p w14:paraId="2AC928C2" w14:textId="77777777" w:rsidR="00A634BA" w:rsidRPr="00A634BA" w:rsidRDefault="00A634BA" w:rsidP="00A634BA">
      <w:pPr>
        <w:pStyle w:val="BodyText"/>
      </w:pPr>
    </w:p>
    <w:p w14:paraId="022D584C" w14:textId="77777777" w:rsidR="0010671C" w:rsidRPr="0010671C" w:rsidRDefault="00A634BA" w:rsidP="00A634BA">
      <w:pPr>
        <w:pStyle w:val="BodyText"/>
      </w:pPr>
      <w:r w:rsidRPr="00A634BA">
        <w:rPr>
          <w:noProof/>
        </w:rPr>
        <w:drawing>
          <wp:inline distT="0" distB="0" distL="0" distR="0" wp14:anchorId="2523ED83" wp14:editId="6E5B6FF0">
            <wp:extent cx="2926080" cy="2194560"/>
            <wp:effectExtent l="0" t="0" r="7620" b="0"/>
            <wp:docPr id="12" name="Picture 12" descr="P:\Trans\60535309 AVL Case Studies\400-Technical\433-Case Study Work\Case Study Reports\Tier 3B -- Wisconsin DOT\WisDOT Photos\For Report\IMG_1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Trans\60535309 AVL Case Studies\400-Technical\433-Case Study Work\Case Study Reports\Tier 3B -- Wisconsin DOT\WisDOT Photos\For Report\IMG_1049.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r w:rsidR="003720EB">
        <w:t xml:space="preserve"> </w:t>
      </w:r>
      <w:r w:rsidR="003720EB" w:rsidRPr="003720EB">
        <w:rPr>
          <w:noProof/>
        </w:rPr>
        <w:drawing>
          <wp:inline distT="0" distB="0" distL="0" distR="0" wp14:anchorId="44E2309D" wp14:editId="346FDC90">
            <wp:extent cx="2926080" cy="2194560"/>
            <wp:effectExtent l="0" t="0" r="7620" b="0"/>
            <wp:docPr id="14" name="Picture 14" descr="P:\Trans\60535309 AVL Case Studies\400-Technical\433-Case Study Work\Case Study Reports\Tier 3B -- Wisconsin DOT\WisDOT Photos\For Report\IMG_1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Trans\60535309 AVL Case Studies\400-Technical\433-Case Study Work\Case Study Reports\Tier 3B -- Wisconsin DOT\WisDOT Photos\For Report\IMG_1129.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20A10978" w14:textId="7CEF193A" w:rsidR="0010671C" w:rsidRDefault="0010671C" w:rsidP="00767C2F">
      <w:pPr>
        <w:pStyle w:val="Caption"/>
      </w:pPr>
      <w:bookmarkStart w:id="31" w:name="_Toc513818306"/>
      <w:r w:rsidRPr="005220C8">
        <w:t xml:space="preserve">Figure </w:t>
      </w:r>
      <w:r w:rsidRPr="005220C8">
        <w:fldChar w:fldCharType="begin"/>
      </w:r>
      <w:r w:rsidRPr="005220C8">
        <w:instrText xml:space="preserve"> SEQ Figure \* ARABIC </w:instrText>
      </w:r>
      <w:r w:rsidRPr="005220C8">
        <w:fldChar w:fldCharType="separate"/>
      </w:r>
      <w:r w:rsidR="00E16E42">
        <w:rPr>
          <w:noProof/>
        </w:rPr>
        <w:t>5</w:t>
      </w:r>
      <w:r w:rsidRPr="005220C8">
        <w:fldChar w:fldCharType="end"/>
      </w:r>
      <w:r w:rsidRPr="005220C8">
        <w:t xml:space="preserve">. </w:t>
      </w:r>
      <w:r>
        <w:t xml:space="preserve">Sauk County </w:t>
      </w:r>
      <w:r w:rsidR="003720EB">
        <w:t>Spreader Controller Types (5100 right and 5100EX left)</w:t>
      </w:r>
      <w:bookmarkEnd w:id="31"/>
    </w:p>
    <w:p w14:paraId="5CF4FA5D" w14:textId="77777777" w:rsidR="0010671C" w:rsidRDefault="0010671C" w:rsidP="00472BDD">
      <w:pPr>
        <w:tabs>
          <w:tab w:val="clear" w:pos="284"/>
        </w:tabs>
        <w:spacing w:line="240" w:lineRule="auto"/>
      </w:pPr>
    </w:p>
    <w:p w14:paraId="3D35B45A" w14:textId="66249915" w:rsidR="004D76BA" w:rsidRDefault="005479FD" w:rsidP="004D76BA">
      <w:pPr>
        <w:pStyle w:val="BodyText"/>
      </w:pPr>
      <w:r>
        <w:t xml:space="preserve">The pavement temperature sensor utilized by WisDOT is pictured in Figure </w:t>
      </w:r>
      <w:r w:rsidR="00392010">
        <w:t>6</w:t>
      </w:r>
      <w:r>
        <w:t xml:space="preserve">.  The location of the pavement temperature sensor is generally placed on the driver side-view mirror.  Two separate types of </w:t>
      </w:r>
      <w:r w:rsidR="007809A4">
        <w:t>Force America</w:t>
      </w:r>
      <w:r>
        <w:t xml:space="preserve"> temperature sensors are pictured </w:t>
      </w:r>
      <w:r w:rsidR="00392010">
        <w:t>in Figure 6</w:t>
      </w:r>
      <w:r>
        <w:t xml:space="preserve">.  The image on the left shows a wired temperature sensor that connects into the PreCise </w:t>
      </w:r>
      <w:r w:rsidR="00D129EC">
        <w:t>AVL/GPS</w:t>
      </w:r>
      <w:r>
        <w:t xml:space="preserve"> system.  The image on the right shows a wireless temperature sensor recently installed by Sauk County staff</w:t>
      </w:r>
      <w:r w:rsidR="00A23869">
        <w:t xml:space="preserve"> that operates on a single D-cell battery</w:t>
      </w:r>
      <w:r>
        <w:t>.</w:t>
      </w:r>
      <w:r w:rsidR="00A23869">
        <w:t xml:space="preserve">  The wireless sensor provides data to a separate display in the vehicle also pictured </w:t>
      </w:r>
      <w:r w:rsidR="00392010">
        <w:t>in Figure 6</w:t>
      </w:r>
      <w:r w:rsidR="00A23869">
        <w:t>.</w:t>
      </w:r>
    </w:p>
    <w:p w14:paraId="5054B01E" w14:textId="77777777" w:rsidR="004D76BA" w:rsidRDefault="00392010" w:rsidP="005479FD">
      <w:pPr>
        <w:pStyle w:val="BodyText"/>
        <w:spacing w:after="0"/>
        <w:jc w:val="right"/>
      </w:pPr>
      <w:r>
        <w:rPr>
          <w:noProof/>
        </w:rPr>
        <w:lastRenderedPageBreak/>
        <mc:AlternateContent>
          <mc:Choice Requires="wps">
            <w:drawing>
              <wp:anchor distT="0" distB="0" distL="114300" distR="114300" simplePos="0" relativeHeight="251689984" behindDoc="0" locked="0" layoutInCell="1" allowOverlap="1" wp14:anchorId="426D5EDF" wp14:editId="78DD73B0">
                <wp:simplePos x="0" y="0"/>
                <wp:positionH relativeFrom="column">
                  <wp:posOffset>3631721</wp:posOffset>
                </wp:positionH>
                <wp:positionV relativeFrom="paragraph">
                  <wp:posOffset>612475</wp:posOffset>
                </wp:positionV>
                <wp:extent cx="439947" cy="422695"/>
                <wp:effectExtent l="0" t="0" r="74930" b="53975"/>
                <wp:wrapNone/>
                <wp:docPr id="22" name="Straight Arrow Connector 22"/>
                <wp:cNvGraphicFramePr/>
                <a:graphic xmlns:a="http://schemas.openxmlformats.org/drawingml/2006/main">
                  <a:graphicData uri="http://schemas.microsoft.com/office/word/2010/wordprocessingShape">
                    <wps:wsp>
                      <wps:cNvCnPr/>
                      <wps:spPr>
                        <a:xfrm>
                          <a:off x="0" y="0"/>
                          <a:ext cx="439947" cy="422695"/>
                        </a:xfrm>
                        <a:prstGeom prst="straightConnector1">
                          <a:avLst/>
                        </a:prstGeom>
                        <a:ln w="254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4647A6E" id="Straight Arrow Connector 22" o:spid="_x0000_s1026" type="#_x0000_t32" style="position:absolute;margin-left:285.95pt;margin-top:48.25pt;width:34.65pt;height:33.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" strokecolor="red" strokeweight="2pt">
                <v:stroke endarrow="block"/>
              </v:shape>
            </w:pict>
          </mc:Fallback>
        </mc:AlternateContent>
      </w:r>
      <w:r>
        <w:rPr>
          <w:noProof/>
        </w:rPr>
        <mc:AlternateContent>
          <mc:Choice Requires="wps">
            <w:drawing>
              <wp:anchor distT="45720" distB="45720" distL="114300" distR="114300" simplePos="0" relativeHeight="251688960" behindDoc="0" locked="0" layoutInCell="1" allowOverlap="1" wp14:anchorId="62AC2F9B" wp14:editId="02AB3324">
                <wp:simplePos x="0" y="0"/>
                <wp:positionH relativeFrom="margin">
                  <wp:posOffset>3088005</wp:posOffset>
                </wp:positionH>
                <wp:positionV relativeFrom="paragraph">
                  <wp:posOffset>51435</wp:posOffset>
                </wp:positionV>
                <wp:extent cx="1028700" cy="1404620"/>
                <wp:effectExtent l="0" t="0" r="19050" b="1397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solidFill>
                          <a:srgbClr val="FFFFFF"/>
                        </a:solidFill>
                        <a:ln w="9525">
                          <a:solidFill>
                            <a:srgbClr val="000000"/>
                          </a:solidFill>
                          <a:miter lim="800000"/>
                          <a:headEnd/>
                          <a:tailEnd/>
                        </a:ln>
                      </wps:spPr>
                      <wps:txbx>
                        <w:txbxContent>
                          <w:p w14:paraId="6D7B7946" w14:textId="77777777" w:rsidR="000B74A0" w:rsidRDefault="000B74A0">
                            <w:r>
                              <w:t>Wireless Temperature Sensor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AC2F9B" id="Text Box 2" o:spid="_x0000_s1029" type="#_x0000_t202" style="position:absolute;left:0;text-align:left;margin-left:243.15pt;margin-top:4.05pt;width:81pt;height:110.6pt;z-index:2516889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">
                <v:textbox style="mso-fit-shape-to-text:t">
                  <w:txbxContent>
                    <w:p w14:paraId="6D7B7946" w14:textId="77777777" w:rsidR="000B74A0" w:rsidRDefault="000B74A0">
                      <w:r>
                        <w:t>Wireless Temperature Sensor</w:t>
                      </w:r>
                    </w:p>
                  </w:txbxContent>
                </v:textbox>
                <w10:wrap anchorx="margin"/>
              </v:shape>
            </w:pict>
          </mc:Fallback>
        </mc:AlternateContent>
      </w:r>
      <w:r w:rsidR="004D76BA" w:rsidRPr="004D76BA">
        <w:rPr>
          <w:noProof/>
        </w:rPr>
        <w:drawing>
          <wp:anchor distT="0" distB="0" distL="114300" distR="114300" simplePos="0" relativeHeight="251686912" behindDoc="0" locked="0" layoutInCell="1" allowOverlap="1" wp14:anchorId="7CD599C8" wp14:editId="29798638">
            <wp:simplePos x="0" y="0"/>
            <wp:positionH relativeFrom="column">
              <wp:posOffset>40943</wp:posOffset>
            </wp:positionH>
            <wp:positionV relativeFrom="paragraph">
              <wp:posOffset>1204</wp:posOffset>
            </wp:positionV>
            <wp:extent cx="2926080" cy="2194560"/>
            <wp:effectExtent l="0" t="0" r="7620" b="0"/>
            <wp:wrapNone/>
            <wp:docPr id="20" name="Picture 20" descr="P:\Trans\60535309 AVL Case Studies\400-Technical\433-Case Study Work\Case Study Reports\Tier 3B -- Wisconsin DOT\WisDOT Photos\For Report\IMG_1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Trans\60535309 AVL Case Studies\400-Technical\433-Case Study Work\Case Study Reports\Tier 3B -- Wisconsin DOT\WisDOT Photos\For Report\IMG_1015.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14:sizeRelH relativeFrom="page">
              <wp14:pctWidth>0</wp14:pctWidth>
            </wp14:sizeRelH>
            <wp14:sizeRelV relativeFrom="page">
              <wp14:pctHeight>0</wp14:pctHeight>
            </wp14:sizeRelV>
          </wp:anchor>
        </w:drawing>
      </w:r>
      <w:r w:rsidR="005479FD">
        <w:t xml:space="preserve"> </w:t>
      </w:r>
      <w:r w:rsidR="004D76BA" w:rsidRPr="004D76BA">
        <w:rPr>
          <w:noProof/>
        </w:rPr>
        <w:drawing>
          <wp:inline distT="0" distB="0" distL="0" distR="0" wp14:anchorId="361EE6CA" wp14:editId="5A88A20E">
            <wp:extent cx="2926080" cy="2194560"/>
            <wp:effectExtent l="0" t="0" r="7620" b="0"/>
            <wp:docPr id="19" name="Picture 19" descr="P:\Trans\60535309 AVL Case Studies\400-Technical\433-Case Study Work\Case Study Reports\Tier 3B -- Wisconsin DOT\WisDOT Photos\For Report\IMG_1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Trans\60535309 AVL Case Studies\400-Technical\433-Case Study Work\Case Study Reports\Tier 3B -- Wisconsin DOT\WisDOT Photos\For Report\IMG_111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5BF55D6B" w14:textId="77777777" w:rsidR="00392010" w:rsidRDefault="00392010" w:rsidP="005479FD">
      <w:pPr>
        <w:pStyle w:val="BodyText"/>
        <w:spacing w:after="0"/>
        <w:jc w:val="right"/>
      </w:pPr>
    </w:p>
    <w:p w14:paraId="6F0DA8A3" w14:textId="77777777" w:rsidR="004D76BA" w:rsidRDefault="00392010" w:rsidP="00392010">
      <w:pPr>
        <w:pStyle w:val="BodyText"/>
        <w:jc w:val="center"/>
      </w:pPr>
      <w:r>
        <w:rPr>
          <w:noProof/>
        </w:rPr>
        <mc:AlternateContent>
          <mc:Choice Requires="wps">
            <w:drawing>
              <wp:anchor distT="45720" distB="45720" distL="114300" distR="114300" simplePos="0" relativeHeight="251692032" behindDoc="0" locked="0" layoutInCell="1" allowOverlap="1" wp14:anchorId="46BDE8A6" wp14:editId="7E9301EA">
                <wp:simplePos x="0" y="0"/>
                <wp:positionH relativeFrom="margin">
                  <wp:posOffset>1557907</wp:posOffset>
                </wp:positionH>
                <wp:positionV relativeFrom="paragraph">
                  <wp:posOffset>64758</wp:posOffset>
                </wp:positionV>
                <wp:extent cx="1028700" cy="1404620"/>
                <wp:effectExtent l="0" t="0" r="19050" b="1397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solidFill>
                          <a:srgbClr val="FFFFFF"/>
                        </a:solidFill>
                        <a:ln w="9525">
                          <a:solidFill>
                            <a:srgbClr val="000000"/>
                          </a:solidFill>
                          <a:miter lim="800000"/>
                          <a:headEnd/>
                          <a:tailEnd/>
                        </a:ln>
                      </wps:spPr>
                      <wps:txbx>
                        <w:txbxContent>
                          <w:p w14:paraId="542686BC" w14:textId="77777777" w:rsidR="000B74A0" w:rsidRDefault="000B74A0" w:rsidP="00941D83">
                            <w:r>
                              <w:t>Temperature Display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6BDE8A6" id="_x0000_s1030" type="#_x0000_t202" style="position:absolute;left:0;text-align:left;margin-left:122.65pt;margin-top:5.1pt;width:81pt;height:110.6pt;z-index:25169203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">
                <v:textbox style="mso-fit-shape-to-text:t">
                  <w:txbxContent>
                    <w:p w14:paraId="542686BC" w14:textId="77777777" w:rsidR="000B74A0" w:rsidRDefault="000B74A0" w:rsidP="00941D83">
                      <w:r>
                        <w:t>Temperature Display</w:t>
                      </w:r>
                    </w:p>
                  </w:txbxContent>
                </v:textbox>
                <w10:wrap anchorx="margin"/>
              </v:shape>
            </w:pict>
          </mc:Fallback>
        </mc:AlternateContent>
      </w:r>
      <w:r w:rsidR="005479FD" w:rsidRPr="005479FD">
        <w:rPr>
          <w:noProof/>
        </w:rPr>
        <w:drawing>
          <wp:inline distT="0" distB="0" distL="0" distR="0" wp14:anchorId="68BD7780" wp14:editId="479E4F54">
            <wp:extent cx="2926080" cy="2194560"/>
            <wp:effectExtent l="0" t="0" r="7620" b="0"/>
            <wp:docPr id="21" name="Picture 21" descr="P:\Trans\60535309 AVL Case Studies\400-Technical\433-Case Study Work\Case Study Reports\Tier 3B -- Wisconsin DOT\WisDOT Photos\For Report\IMG_1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Trans\60535309 AVL Case Studies\400-Technical\433-Case Study Work\Case Study Reports\Tier 3B -- Wisconsin DOT\WisDOT Photos\For Report\IMG_1125.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7A0B5C17" w14:textId="54EEAEA4" w:rsidR="005479FD" w:rsidRDefault="005479FD" w:rsidP="00767C2F">
      <w:pPr>
        <w:pStyle w:val="Caption"/>
      </w:pPr>
      <w:bookmarkStart w:id="32" w:name="_Toc513818307"/>
      <w:r>
        <w:t xml:space="preserve">Figure </w:t>
      </w:r>
      <w:r>
        <w:fldChar w:fldCharType="begin"/>
      </w:r>
      <w:r>
        <w:instrText xml:space="preserve"> SEQ Figure \* ARABIC </w:instrText>
      </w:r>
      <w:r>
        <w:fldChar w:fldCharType="separate"/>
      </w:r>
      <w:r w:rsidR="00E16E42">
        <w:rPr>
          <w:noProof/>
        </w:rPr>
        <w:t>6</w:t>
      </w:r>
      <w:r>
        <w:fldChar w:fldCharType="end"/>
      </w:r>
      <w:r>
        <w:t xml:space="preserve">. Sauk County </w:t>
      </w:r>
      <w:r w:rsidR="00130092">
        <w:t xml:space="preserve">Force America </w:t>
      </w:r>
      <w:r>
        <w:t>Temperature Sensors</w:t>
      </w:r>
      <w:bookmarkEnd w:id="32"/>
    </w:p>
    <w:p w14:paraId="20D8C755" w14:textId="77777777" w:rsidR="00941D83" w:rsidRDefault="00941D83" w:rsidP="00941D83">
      <w:pPr>
        <w:pStyle w:val="BodyText"/>
      </w:pPr>
    </w:p>
    <w:p w14:paraId="3763CDCA" w14:textId="0632D1E9" w:rsidR="00C63FC9" w:rsidRDefault="00C63FC9" w:rsidP="00C63FC9">
      <w:pPr>
        <w:pStyle w:val="BodyText"/>
      </w:pPr>
      <w:r>
        <w:t xml:space="preserve">The hydraulic sensors on the Sauk County snow plow vehicle </w:t>
      </w:r>
      <w:r w:rsidR="00130092">
        <w:t xml:space="preserve">are </w:t>
      </w:r>
      <w:r>
        <w:t xml:space="preserve">shown in Figure </w:t>
      </w:r>
      <w:r w:rsidR="009A58E9">
        <w:t>7</w:t>
      </w:r>
      <w:r>
        <w:t xml:space="preserve">.  The sensor is connected the </w:t>
      </w:r>
      <w:r w:rsidR="00185F80">
        <w:t>PreCise</w:t>
      </w:r>
      <w:r>
        <w:t xml:space="preserve"> AVL equipment to indicate the plow up / down status on the vehicle.  </w:t>
      </w:r>
    </w:p>
    <w:p w14:paraId="0ADA83EB" w14:textId="77777777" w:rsidR="00C63FC9" w:rsidRPr="00941D83" w:rsidRDefault="00C63FC9" w:rsidP="00C63FC9">
      <w:pPr>
        <w:pStyle w:val="BodyText"/>
        <w:jc w:val="center"/>
      </w:pPr>
      <w:r w:rsidRPr="00941D83">
        <w:rPr>
          <w:noProof/>
        </w:rPr>
        <w:drawing>
          <wp:inline distT="0" distB="0" distL="0" distR="0" wp14:anchorId="1F561D96" wp14:editId="45B9D5B0">
            <wp:extent cx="2926080" cy="2194560"/>
            <wp:effectExtent l="0" t="0" r="7620" b="0"/>
            <wp:docPr id="26" name="Picture 26" descr="P:\Trans\60535309 AVL Case Studies\400-Technical\433-Case Study Work\Case Study Reports\Tier 3B -- Wisconsin DOT\WisDOT Photos\For Report\IMG_1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Trans\60535309 AVL Case Studies\400-Technical\433-Case Study Work\Case Study Reports\Tier 3B -- Wisconsin DOT\WisDOT Photos\For Report\IMG_1088.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r w:rsidR="009A58E9">
        <w:rPr>
          <w:noProof/>
        </w:rPr>
        <w:drawing>
          <wp:inline distT="0" distB="0" distL="0" distR="0" wp14:anchorId="0547A4BF" wp14:editId="2887E4C4">
            <wp:extent cx="2930254" cy="2194560"/>
            <wp:effectExtent l="0" t="0" r="3810" b="0"/>
            <wp:docPr id="17" name="Picture 17" descr="P:\Trans\60535309 AVL Case Studies\400-Technical\433-Case Study Work\Case Study Reports\Tier 3B -- Wisconsin DOT\WisDOT Photos\IMG_10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Trans\60535309 AVL Case Studies\400-Technical\433-Case Study Work\Case Study Reports\Tier 3B -- Wisconsin DOT\WisDOT Photos\IMG_1089.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30254" cy="2194560"/>
                    </a:xfrm>
                    <a:prstGeom prst="rect">
                      <a:avLst/>
                    </a:prstGeom>
                    <a:noFill/>
                    <a:ln>
                      <a:noFill/>
                    </a:ln>
                  </pic:spPr>
                </pic:pic>
              </a:graphicData>
            </a:graphic>
          </wp:inline>
        </w:drawing>
      </w:r>
      <w:r w:rsidR="009A58E9">
        <w:t xml:space="preserve">  </w:t>
      </w:r>
    </w:p>
    <w:p w14:paraId="7C03976C" w14:textId="7D40E57C" w:rsidR="00C63FC9" w:rsidRDefault="00C63FC9" w:rsidP="00767C2F">
      <w:pPr>
        <w:pStyle w:val="Caption"/>
      </w:pPr>
      <w:bookmarkStart w:id="33" w:name="_Toc507515195"/>
      <w:bookmarkStart w:id="34" w:name="_Toc513818308"/>
      <w:r>
        <w:t xml:space="preserve">Figure </w:t>
      </w:r>
      <w:r>
        <w:fldChar w:fldCharType="begin"/>
      </w:r>
      <w:r>
        <w:instrText xml:space="preserve"> SEQ Figure \* ARABIC </w:instrText>
      </w:r>
      <w:r>
        <w:fldChar w:fldCharType="separate"/>
      </w:r>
      <w:r w:rsidR="00E16E42">
        <w:rPr>
          <w:noProof/>
        </w:rPr>
        <w:t>7</w:t>
      </w:r>
      <w:r>
        <w:fldChar w:fldCharType="end"/>
      </w:r>
      <w:r>
        <w:t xml:space="preserve">. WisDOT Snow Plow </w:t>
      </w:r>
      <w:r w:rsidRPr="0073315B">
        <w:t>Hydraulic Sensor</w:t>
      </w:r>
      <w:r>
        <w:t xml:space="preserve"> Location</w:t>
      </w:r>
      <w:bookmarkEnd w:id="33"/>
      <w:bookmarkEnd w:id="34"/>
    </w:p>
    <w:p w14:paraId="30D50E42" w14:textId="77777777" w:rsidR="00C63FC9" w:rsidRDefault="00C63FC9" w:rsidP="0011006A">
      <w:pPr>
        <w:tabs>
          <w:tab w:val="clear" w:pos="284"/>
        </w:tabs>
        <w:spacing w:line="240" w:lineRule="auto"/>
      </w:pPr>
    </w:p>
    <w:p w14:paraId="7890D5E9" w14:textId="2A1E3565" w:rsidR="0011006A" w:rsidRDefault="0011006A" w:rsidP="0011006A">
      <w:pPr>
        <w:tabs>
          <w:tab w:val="clear" w:pos="284"/>
        </w:tabs>
        <w:spacing w:line="240" w:lineRule="auto"/>
      </w:pPr>
      <w:r>
        <w:lastRenderedPageBreak/>
        <w:t xml:space="preserve">Photos of the snow plow spray tank and spreader equipment are pictured in Figure </w:t>
      </w:r>
      <w:r w:rsidR="009A58E9">
        <w:t>8</w:t>
      </w:r>
      <w:r>
        <w:t>.  There is a variety of spreader equipment from various manufacturers in different Regions of the state, which is determined as part of the vehicle up-fitting process</w:t>
      </w:r>
      <w:r w:rsidR="00130092">
        <w:t xml:space="preserve"> for which the individual counties are responsible</w:t>
      </w:r>
      <w:r>
        <w:t>.</w:t>
      </w:r>
    </w:p>
    <w:p w14:paraId="676B46F9" w14:textId="77777777" w:rsidR="0011006A" w:rsidRDefault="0011006A" w:rsidP="0011006A">
      <w:pPr>
        <w:tabs>
          <w:tab w:val="clear" w:pos="284"/>
        </w:tabs>
        <w:spacing w:line="240" w:lineRule="auto"/>
      </w:pPr>
    </w:p>
    <w:p w14:paraId="198EBE10" w14:textId="77777777" w:rsidR="0011006A" w:rsidRDefault="0011006A" w:rsidP="0011006A">
      <w:pPr>
        <w:tabs>
          <w:tab w:val="clear" w:pos="284"/>
        </w:tabs>
        <w:spacing w:line="240" w:lineRule="auto"/>
      </w:pPr>
      <w:r w:rsidRPr="0010671C">
        <w:rPr>
          <w:noProof/>
        </w:rPr>
        <w:drawing>
          <wp:inline distT="0" distB="0" distL="0" distR="0" wp14:anchorId="00600195" wp14:editId="7E296474">
            <wp:extent cx="2926080" cy="2194560"/>
            <wp:effectExtent l="0" t="0" r="7620" b="0"/>
            <wp:docPr id="9" name="Picture 9" descr="P:\Trans\60535309 AVL Case Studies\400-Technical\433-Case Study Work\Case Study Reports\Tier 3B -- Wisconsin DOT\WisDOT Photos\For Report\IMG_1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Trans\60535309 AVL Case Studies\400-Technical\433-Case Study Work\Case Study Reports\Tier 3B -- Wisconsin DOT\WisDOT Photos\For Report\IMG_102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r>
        <w:t xml:space="preserve"> </w:t>
      </w:r>
      <w:r w:rsidRPr="0010671C">
        <w:rPr>
          <w:noProof/>
        </w:rPr>
        <w:drawing>
          <wp:inline distT="0" distB="0" distL="0" distR="0" wp14:anchorId="14FFA03E" wp14:editId="2DB3342E">
            <wp:extent cx="2926080" cy="2194560"/>
            <wp:effectExtent l="0" t="0" r="7620" b="0"/>
            <wp:docPr id="8" name="Picture 8" descr="P:\Trans\60535309 AVL Case Studies\400-Technical\433-Case Study Work\Case Study Reports\Tier 3B -- Wisconsin DOT\WisDOT Photos\For Report\IMG_1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Trans\60535309 AVL Case Studies\400-Technical\433-Case Study Work\Case Study Reports\Tier 3B -- Wisconsin DOT\WisDOT Photos\For Report\IMG_1100.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26080" cy="2194560"/>
                    </a:xfrm>
                    <a:prstGeom prst="rect">
                      <a:avLst/>
                    </a:prstGeom>
                    <a:noFill/>
                    <a:ln>
                      <a:noFill/>
                    </a:ln>
                  </pic:spPr>
                </pic:pic>
              </a:graphicData>
            </a:graphic>
          </wp:inline>
        </w:drawing>
      </w:r>
    </w:p>
    <w:p w14:paraId="141E2C1B" w14:textId="1F971532" w:rsidR="0011006A" w:rsidRDefault="0011006A" w:rsidP="00767C2F">
      <w:pPr>
        <w:pStyle w:val="Caption"/>
      </w:pPr>
      <w:bookmarkStart w:id="35" w:name="_Toc507515196"/>
      <w:bookmarkStart w:id="36" w:name="_Toc513818309"/>
      <w:r>
        <w:t xml:space="preserve">Figure </w:t>
      </w:r>
      <w:r>
        <w:fldChar w:fldCharType="begin"/>
      </w:r>
      <w:r>
        <w:instrText xml:space="preserve"> SEQ Figure \* ARABIC </w:instrText>
      </w:r>
      <w:r>
        <w:fldChar w:fldCharType="separate"/>
      </w:r>
      <w:r w:rsidR="00E16E42">
        <w:rPr>
          <w:noProof/>
        </w:rPr>
        <w:t>8</w:t>
      </w:r>
      <w:r>
        <w:fldChar w:fldCharType="end"/>
      </w:r>
      <w:r>
        <w:t xml:space="preserve">. Sauk County Snow Plow </w:t>
      </w:r>
      <w:bookmarkEnd w:id="35"/>
      <w:r>
        <w:t>Spreader Equipment and Spray Tank</w:t>
      </w:r>
      <w:bookmarkEnd w:id="36"/>
    </w:p>
    <w:p w14:paraId="648EB570" w14:textId="77777777" w:rsidR="0011006A" w:rsidRDefault="0011006A" w:rsidP="0011006A">
      <w:pPr>
        <w:pStyle w:val="BodyText"/>
        <w:spacing w:after="0"/>
      </w:pPr>
    </w:p>
    <w:p w14:paraId="51D37B47" w14:textId="77777777" w:rsidR="00472BDD" w:rsidRDefault="00D129EC" w:rsidP="00472BDD">
      <w:pPr>
        <w:pStyle w:val="Heading2"/>
      </w:pPr>
      <w:bookmarkStart w:id="37" w:name="_Toc508894696"/>
      <w:r>
        <w:t>AVL/GPS</w:t>
      </w:r>
      <w:r w:rsidR="00F81D4C">
        <w:t xml:space="preserve"> </w:t>
      </w:r>
      <w:r w:rsidR="00472BDD">
        <w:t>System Software</w:t>
      </w:r>
      <w:bookmarkEnd w:id="37"/>
    </w:p>
    <w:p w14:paraId="392D3AB8" w14:textId="66AB7F94" w:rsidR="00BF65F3" w:rsidRDefault="00BF65F3" w:rsidP="00DD2F4E">
      <w:r w:rsidRPr="00BF65F3">
        <w:t xml:space="preserve">WisDOT </w:t>
      </w:r>
      <w:r>
        <w:t xml:space="preserve">utilizes </w:t>
      </w:r>
      <w:r w:rsidRPr="00BF65F3">
        <w:t xml:space="preserve">the </w:t>
      </w:r>
      <w:r w:rsidR="00185F80">
        <w:t>PreCise</w:t>
      </w:r>
      <w:r w:rsidRPr="00BF65F3">
        <w:t xml:space="preserve"> AVL software interface to view the locations of vehicles.  Specific vehicles </w:t>
      </w:r>
      <w:r>
        <w:t xml:space="preserve">can </w:t>
      </w:r>
      <w:r w:rsidRPr="00BF65F3">
        <w:t xml:space="preserve">be selected </w:t>
      </w:r>
      <w:r w:rsidR="00185F80">
        <w:t>to view additional</w:t>
      </w:r>
      <w:r w:rsidRPr="00BF65F3">
        <w:t xml:space="preserve"> detail</w:t>
      </w:r>
      <w:r w:rsidR="00185F80">
        <w:t>s</w:t>
      </w:r>
      <w:r w:rsidRPr="00BF65F3">
        <w:t xml:space="preserve"> </w:t>
      </w:r>
      <w:r w:rsidR="00185F80">
        <w:t xml:space="preserve">such as </w:t>
      </w:r>
      <w:r w:rsidRPr="00BF65F3">
        <w:t xml:space="preserve">how many miles </w:t>
      </w:r>
      <w:r>
        <w:t xml:space="preserve">have </w:t>
      </w:r>
      <w:r w:rsidRPr="00BF65F3">
        <w:t>been driven</w:t>
      </w:r>
      <w:r w:rsidR="00185F80">
        <w:t xml:space="preserve">, </w:t>
      </w:r>
      <w:r w:rsidRPr="00BF65F3">
        <w:t>ho</w:t>
      </w:r>
      <w:r>
        <w:t>w much material has</w:t>
      </w:r>
      <w:r w:rsidRPr="00BF65F3">
        <w:t xml:space="preserve"> been us</w:t>
      </w:r>
      <w:r w:rsidR="00130092">
        <w:t>ed</w:t>
      </w:r>
      <w:r w:rsidRPr="00BF65F3">
        <w:t xml:space="preserve"> over a specific period of time</w:t>
      </w:r>
      <w:r w:rsidR="00185F80">
        <w:t>, battery voltage, etc.</w:t>
      </w:r>
      <w:r w:rsidRPr="00BF65F3">
        <w:t xml:space="preserve">  </w:t>
      </w:r>
    </w:p>
    <w:p w14:paraId="17327C37" w14:textId="77777777" w:rsidR="00BF65F3" w:rsidRDefault="00BF65F3" w:rsidP="00DD2F4E"/>
    <w:p w14:paraId="06D3F585" w14:textId="77777777" w:rsidR="00472BDD" w:rsidRDefault="00BF65F3" w:rsidP="001A3682">
      <w:r w:rsidRPr="00BF65F3">
        <w:t xml:space="preserve">The AVL software interface also provides a bread crumb trail to help locate the route taken by snow plow operators.  It was noted that the AVL software user interface was not as user friendly to navigate as the MDSS software interface that WisDOT also </w:t>
      </w:r>
      <w:r w:rsidR="00185F80">
        <w:t>uses.</w:t>
      </w:r>
    </w:p>
    <w:p w14:paraId="0C7E90E3" w14:textId="7EDBEBFA" w:rsidR="00472BDD" w:rsidRDefault="00AA095A" w:rsidP="002906B6">
      <w:pPr>
        <w:pStyle w:val="Heading2"/>
      </w:pPr>
      <w:bookmarkStart w:id="38" w:name="_Toc508894697"/>
      <w:r>
        <w:t>Vehicle-to-</w:t>
      </w:r>
      <w:r w:rsidR="002906B6" w:rsidRPr="002906B6">
        <w:t xml:space="preserve">Center </w:t>
      </w:r>
      <w:r w:rsidR="002906B6">
        <w:t>C</w:t>
      </w:r>
      <w:r w:rsidR="002906B6" w:rsidRPr="002906B6">
        <w:t>ommunications</w:t>
      </w:r>
      <w:bookmarkEnd w:id="38"/>
      <w:r w:rsidR="002906B6">
        <w:t xml:space="preserve"> </w:t>
      </w:r>
    </w:p>
    <w:p w14:paraId="6E891653" w14:textId="77777777" w:rsidR="006F11A5" w:rsidRDefault="00C77942" w:rsidP="00C77942">
      <w:r>
        <w:t xml:space="preserve">Cellular communications is utilized throughout the state for the </w:t>
      </w:r>
      <w:r w:rsidR="00185F80">
        <w:t>PreCise</w:t>
      </w:r>
      <w:r>
        <w:t xml:space="preserve"> </w:t>
      </w:r>
      <w:r w:rsidR="00D129EC">
        <w:t>AVL/GPS</w:t>
      </w:r>
      <w:r>
        <w:t xml:space="preserve"> system to communicate information to </w:t>
      </w:r>
      <w:r w:rsidR="00185F80">
        <w:t>the PreCise central server</w:t>
      </w:r>
      <w:r>
        <w:t xml:space="preserve">.  </w:t>
      </w:r>
      <w:r w:rsidR="00185F80">
        <w:t>PreCise</w:t>
      </w:r>
      <w:r w:rsidRPr="00C77942">
        <w:t xml:space="preserve"> arranges the cellular carrier of preference for the system based on the best cell coverage available.  While there are still coverage gaps in rural areas of the state, WisDOT in general is satisfied with the cellular coverage throughout the state.</w:t>
      </w:r>
      <w:r w:rsidR="00DD2F4E">
        <w:t xml:space="preserve">  </w:t>
      </w:r>
    </w:p>
    <w:p w14:paraId="1C2A6165" w14:textId="77777777" w:rsidR="00C77942" w:rsidRDefault="00C77942" w:rsidP="00C77942"/>
    <w:p w14:paraId="20E72142" w14:textId="77777777" w:rsidR="00185F80" w:rsidRPr="00C77942" w:rsidRDefault="00185F80" w:rsidP="00C77942"/>
    <w:p w14:paraId="5DF391FA" w14:textId="77777777" w:rsidR="006F11A5" w:rsidRDefault="006F11A5" w:rsidP="006F11A5">
      <w:pPr>
        <w:pStyle w:val="Heading1"/>
      </w:pPr>
      <w:bookmarkStart w:id="39" w:name="_Toc508894698"/>
      <w:r>
        <w:t>System Decision Making Processes</w:t>
      </w:r>
      <w:bookmarkEnd w:id="39"/>
    </w:p>
    <w:p w14:paraId="64341C14" w14:textId="77777777" w:rsidR="006F11A5" w:rsidRDefault="006F11A5" w:rsidP="006F11A5">
      <w:pPr>
        <w:pStyle w:val="Heading2"/>
      </w:pPr>
      <w:bookmarkStart w:id="40" w:name="_Toc508894699"/>
      <w:r w:rsidRPr="006F11A5">
        <w:t xml:space="preserve">Level of </w:t>
      </w:r>
      <w:r w:rsidR="00BD0B73">
        <w:t>M</w:t>
      </w:r>
      <w:r w:rsidRPr="006F11A5">
        <w:t xml:space="preserve">anagement </w:t>
      </w:r>
      <w:r w:rsidR="00BD0B73">
        <w:t>I</w:t>
      </w:r>
      <w:r w:rsidRPr="006F11A5">
        <w:t>nvolved</w:t>
      </w:r>
      <w:bookmarkEnd w:id="40"/>
    </w:p>
    <w:p w14:paraId="3E26198F" w14:textId="638E52C0" w:rsidR="001933C8" w:rsidRDefault="00032ED4" w:rsidP="001933C8">
      <w:pPr>
        <w:spacing w:line="240" w:lineRule="auto"/>
      </w:pPr>
      <w:r>
        <w:t>As noted previously,</w:t>
      </w:r>
      <w:r w:rsidR="005E3771">
        <w:t xml:space="preserve"> </w:t>
      </w:r>
      <w:r w:rsidR="001933C8">
        <w:t xml:space="preserve">a </w:t>
      </w:r>
      <w:r w:rsidR="005E3771">
        <w:t xml:space="preserve">lack of situational awareness on the locations and activity of snow plow equipment during a </w:t>
      </w:r>
      <w:r w:rsidR="001933C8">
        <w:t xml:space="preserve">severe winter storm </w:t>
      </w:r>
      <w:r>
        <w:t>in</w:t>
      </w:r>
      <w:r w:rsidR="005E3771">
        <w:t xml:space="preserve"> 2008 revealed that the state and all </w:t>
      </w:r>
      <w:r w:rsidR="00101D49">
        <w:t>c</w:t>
      </w:r>
      <w:r w:rsidR="005E3771">
        <w:t xml:space="preserve">ounties would greatly benefit from the implementation of an </w:t>
      </w:r>
      <w:r w:rsidR="00D129EC">
        <w:t>AVL/GPS</w:t>
      </w:r>
      <w:r w:rsidR="005E3771">
        <w:t xml:space="preserve"> system on a statewide scale.  </w:t>
      </w:r>
      <w:r w:rsidR="001933C8">
        <w:t xml:space="preserve">WisDOT </w:t>
      </w:r>
      <w:r w:rsidR="005E3771">
        <w:t xml:space="preserve">and </w:t>
      </w:r>
      <w:r w:rsidR="00101D49">
        <w:t>c</w:t>
      </w:r>
      <w:r>
        <w:t>ounties</w:t>
      </w:r>
      <w:r w:rsidR="005E3771">
        <w:t xml:space="preserve"> would then be able to </w:t>
      </w:r>
      <w:r w:rsidR="001933C8">
        <w:t xml:space="preserve">communicate the location of winter maintenance assets in a timely manner </w:t>
      </w:r>
      <w:r w:rsidR="005E3771">
        <w:t xml:space="preserve">during future winter storms </w:t>
      </w:r>
      <w:r>
        <w:t>to</w:t>
      </w:r>
      <w:r w:rsidR="005E3771">
        <w:t xml:space="preserve"> improve</w:t>
      </w:r>
      <w:r w:rsidR="001933C8">
        <w:t xml:space="preserve"> overall </w:t>
      </w:r>
      <w:r w:rsidR="005E3771">
        <w:t>winter roadway maintenance efficiency</w:t>
      </w:r>
      <w:r>
        <w:t xml:space="preserve"> and incident response</w:t>
      </w:r>
      <w:r w:rsidR="001933C8">
        <w:t xml:space="preserve">.  </w:t>
      </w:r>
      <w:r w:rsidR="00AA095A">
        <w:t xml:space="preserve">WisDOT also had expressed interest around this time in using MDSS through involvement in the MDSS pooled fund study, and had come to understand the value of incorporating real-time data from an AVL / GPS </w:t>
      </w:r>
      <w:r w:rsidR="00802EB8">
        <w:t xml:space="preserve">system </w:t>
      </w:r>
      <w:r w:rsidR="00AA095A">
        <w:lastRenderedPageBreak/>
        <w:t xml:space="preserve">into an MDSS system </w:t>
      </w:r>
      <w:r w:rsidR="000B74A0">
        <w:t>to improve the accuracy of weather forecasts and</w:t>
      </w:r>
      <w:r w:rsidR="00AA095A">
        <w:t xml:space="preserve"> treatment recommendations</w:t>
      </w:r>
      <w:r w:rsidR="000B74A0">
        <w:t xml:space="preserve">, which </w:t>
      </w:r>
      <w:r w:rsidR="00802EB8">
        <w:t>in</w:t>
      </w:r>
      <w:r w:rsidR="000B74A0">
        <w:t xml:space="preserve"> turn improves </w:t>
      </w:r>
      <w:r w:rsidR="00802EB8">
        <w:t xml:space="preserve">the efficiency of </w:t>
      </w:r>
      <w:r w:rsidR="000B74A0">
        <w:t>winter maintenance operations</w:t>
      </w:r>
      <w:r w:rsidR="00AA095A">
        <w:t xml:space="preserve">. </w:t>
      </w:r>
    </w:p>
    <w:p w14:paraId="56AF6B2C" w14:textId="77777777" w:rsidR="001933C8" w:rsidRDefault="001933C8" w:rsidP="001933C8">
      <w:pPr>
        <w:spacing w:line="240" w:lineRule="auto"/>
      </w:pPr>
    </w:p>
    <w:p w14:paraId="22AF6A3A" w14:textId="44E44530" w:rsidR="00262469" w:rsidRDefault="00622AD3" w:rsidP="0097223E">
      <w:r>
        <w:t xml:space="preserve">WisDOT </w:t>
      </w:r>
      <w:r w:rsidR="004314B8">
        <w:t xml:space="preserve">executive </w:t>
      </w:r>
      <w:r>
        <w:t xml:space="preserve">management expressed a desire to implement an AVL/GPS system statewide to </w:t>
      </w:r>
      <w:r w:rsidR="00802EB8">
        <w:t xml:space="preserve">both </w:t>
      </w:r>
      <w:r>
        <w:t xml:space="preserve">improve </w:t>
      </w:r>
      <w:r w:rsidR="00802EB8">
        <w:t xml:space="preserve">situational awareness and the efficiency of </w:t>
      </w:r>
      <w:r>
        <w:t xml:space="preserve">winter maintenance operations.  </w:t>
      </w:r>
      <w:r w:rsidR="005E3771">
        <w:t xml:space="preserve">WisDOT </w:t>
      </w:r>
      <w:r w:rsidR="00F81D4C">
        <w:t xml:space="preserve">management staff worked to </w:t>
      </w:r>
      <w:r>
        <w:t>obtain</w:t>
      </w:r>
      <w:r w:rsidR="00F81D4C">
        <w:t xml:space="preserve"> federal funding </w:t>
      </w:r>
      <w:r w:rsidR="005E3771">
        <w:t xml:space="preserve">under SAFETEA-LU </w:t>
      </w:r>
      <w:r>
        <w:t xml:space="preserve">for the procurement and implementation </w:t>
      </w:r>
      <w:r w:rsidR="005E3771">
        <w:t xml:space="preserve">of </w:t>
      </w:r>
      <w:r>
        <w:t>an</w:t>
      </w:r>
      <w:r w:rsidR="005E3771">
        <w:t xml:space="preserve"> </w:t>
      </w:r>
      <w:r w:rsidR="00D129EC">
        <w:t>AVL/GPS</w:t>
      </w:r>
      <w:r w:rsidR="005E3771">
        <w:t xml:space="preserve"> system.</w:t>
      </w:r>
    </w:p>
    <w:p w14:paraId="3E8AF47C" w14:textId="77777777" w:rsidR="00262469" w:rsidRDefault="00262469" w:rsidP="0097223E"/>
    <w:p w14:paraId="73D20279" w14:textId="6CC4186D" w:rsidR="005E3771" w:rsidRDefault="00262469" w:rsidP="005E3771">
      <w:r>
        <w:t xml:space="preserve">WisDOT then worked with the County Highway Commissioner from each county to gain buy-ins.  Every </w:t>
      </w:r>
      <w:r w:rsidR="00101D49">
        <w:t>c</w:t>
      </w:r>
      <w:r>
        <w:t xml:space="preserve">ounty in Wisconsin employs a County Highway Commissioner who oversees all </w:t>
      </w:r>
      <w:r w:rsidR="00101D49">
        <w:t>c</w:t>
      </w:r>
      <w:r>
        <w:t xml:space="preserve">ounty highway maintenance operations.  Within a </w:t>
      </w:r>
      <w:r w:rsidR="00101D49">
        <w:t>county highway d</w:t>
      </w:r>
      <w:r>
        <w:t xml:space="preserve">epartment, the Commissioner manages a team of </w:t>
      </w:r>
      <w:r w:rsidR="00130092">
        <w:t xml:space="preserve">roadway </w:t>
      </w:r>
      <w:r>
        <w:t>maintenance staff that include</w:t>
      </w:r>
      <w:r w:rsidR="00AC387F">
        <w:t>s</w:t>
      </w:r>
      <w:r>
        <w:t>: a County Patrol Superintendent who monitors vehicle operators and their use of snow plow equipment, and a County Foreman who maintains all vehicle equipment including the AVL/GPS system equipment.</w:t>
      </w:r>
    </w:p>
    <w:p w14:paraId="5AB5DC75" w14:textId="77777777" w:rsidR="001E26C3" w:rsidRDefault="001E26C3" w:rsidP="005E3771"/>
    <w:p w14:paraId="0DD76221" w14:textId="5E747904" w:rsidR="001E26C3" w:rsidRDefault="001E26C3" w:rsidP="005E3771">
      <w:r>
        <w:t xml:space="preserve">Management level staff at WisDOT, including the </w:t>
      </w:r>
      <w:r w:rsidRPr="001E26C3">
        <w:t>Highway Maintenance and Roadside Management Section Chief</w:t>
      </w:r>
      <w:r>
        <w:t xml:space="preserve">, attended many County Commissioner Meetings to advocate the benefits of using AVL/GPS systems.  Key benefits communicated with the </w:t>
      </w:r>
      <w:r w:rsidR="00101D49">
        <w:t>c</w:t>
      </w:r>
      <w:r>
        <w:t>ounties includes how an AVL/GPS system through the use of MDSS</w:t>
      </w:r>
      <w:r w:rsidRPr="001E26C3">
        <w:t xml:space="preserve"> </w:t>
      </w:r>
      <w:r>
        <w:t>could help optimize material usage and how the system could help with optimizing snow plow routes and resource allocation.</w:t>
      </w:r>
    </w:p>
    <w:p w14:paraId="1ADC3580" w14:textId="77777777" w:rsidR="006F11A5" w:rsidRDefault="006F11A5" w:rsidP="006F11A5">
      <w:pPr>
        <w:pStyle w:val="Heading2"/>
      </w:pPr>
      <w:bookmarkStart w:id="41" w:name="_Toc508894700"/>
      <w:r w:rsidRPr="006F11A5">
        <w:t xml:space="preserve">Factors </w:t>
      </w:r>
      <w:r w:rsidR="00BD0B73">
        <w:t>C</w:t>
      </w:r>
      <w:r w:rsidRPr="006F11A5">
        <w:t>onsidered</w:t>
      </w:r>
      <w:bookmarkEnd w:id="41"/>
      <w:r w:rsidRPr="006F11A5">
        <w:t xml:space="preserve"> </w:t>
      </w:r>
    </w:p>
    <w:p w14:paraId="1A7EC5F6" w14:textId="60C2BE24" w:rsidR="00D940C7" w:rsidRDefault="00D940C7" w:rsidP="00D940C7">
      <w:r w:rsidRPr="00BF65F3">
        <w:t xml:space="preserve">The ability to </w:t>
      </w:r>
      <w:r w:rsidR="00C30B06">
        <w:t xml:space="preserve">integrate and </w:t>
      </w:r>
      <w:r w:rsidRPr="00BF65F3">
        <w:t>use MDSS</w:t>
      </w:r>
      <w:r w:rsidR="00940C38">
        <w:t>,</w:t>
      </w:r>
      <w:r w:rsidRPr="00BF65F3">
        <w:t xml:space="preserve"> </w:t>
      </w:r>
      <w:r w:rsidR="00940C38">
        <w:t xml:space="preserve">especially for managing material usage, </w:t>
      </w:r>
      <w:r w:rsidRPr="00BF65F3">
        <w:t xml:space="preserve">was one of the main motivations for the AVL/GPS implementation in all </w:t>
      </w:r>
      <w:r w:rsidR="00101D49">
        <w:t>c</w:t>
      </w:r>
      <w:r w:rsidRPr="00BF65F3">
        <w:t>ounties</w:t>
      </w:r>
      <w:r w:rsidR="00940C38">
        <w:t>.  WisDOT</w:t>
      </w:r>
      <w:r w:rsidRPr="00BF65F3">
        <w:t>’s prior research on best management practices pertaining to material usage</w:t>
      </w:r>
      <w:r w:rsidR="00940C38">
        <w:t xml:space="preserve"> indicated that MDSS would provide WisDOT a valuable tool to monitor and manage material usage effectively</w:t>
      </w:r>
      <w:r w:rsidR="00F17C61">
        <w:t>, provided that it was linked to live AVL/GPS data flow.</w:t>
      </w:r>
    </w:p>
    <w:p w14:paraId="0C7D1BC7" w14:textId="77777777" w:rsidR="00D940C7" w:rsidRPr="00F81D4C" w:rsidRDefault="00D940C7" w:rsidP="00D940C7"/>
    <w:p w14:paraId="369F579E" w14:textId="77777777" w:rsidR="00D940C7" w:rsidRDefault="00940C38" w:rsidP="00D940C7">
      <w:pPr>
        <w:spacing w:line="240" w:lineRule="auto"/>
      </w:pPr>
      <w:r w:rsidRPr="00FB2A4D">
        <w:t>The use of PreCise AVL equipment was due to Dane County’s experience with the system</w:t>
      </w:r>
      <w:r w:rsidR="00FB2A4D">
        <w:t xml:space="preserve"> as well as the ability to use Dane County’s existing contract for statewide procurement</w:t>
      </w:r>
      <w:r w:rsidRPr="00FB2A4D">
        <w:t xml:space="preserve">.  </w:t>
      </w:r>
      <w:r w:rsidR="00F81D4C" w:rsidRPr="00FB2A4D">
        <w:t xml:space="preserve">WisDOT </w:t>
      </w:r>
      <w:r w:rsidR="00FB2A4D" w:rsidRPr="00FB2A4D">
        <w:t xml:space="preserve">observed how Dane County procured and installed the AVL equipment and integrated it with spreader controllers, sensors, and other </w:t>
      </w:r>
      <w:r w:rsidR="00F81D4C" w:rsidRPr="00FB2A4D">
        <w:t xml:space="preserve">vehicle components.  </w:t>
      </w:r>
      <w:r w:rsidR="00FB2A4D" w:rsidRPr="00FB2A4D">
        <w:t xml:space="preserve">In addition, </w:t>
      </w:r>
      <w:r w:rsidR="00D940C7" w:rsidRPr="00FB2A4D">
        <w:t>WisDOT</w:t>
      </w:r>
      <w:r w:rsidR="00FB2A4D">
        <w:t xml:space="preserve"> had the ability</w:t>
      </w:r>
      <w:r w:rsidR="00D940C7" w:rsidRPr="00FB2A4D">
        <w:t xml:space="preserve"> to use Dane County</w:t>
      </w:r>
      <w:r w:rsidR="00FB2A4D">
        <w:t>’s</w:t>
      </w:r>
      <w:r w:rsidR="00D940C7" w:rsidRPr="00FB2A4D">
        <w:t xml:space="preserve"> </w:t>
      </w:r>
      <w:r w:rsidR="00FB2A4D" w:rsidRPr="00FB2A4D">
        <w:t>contract with PreCise</w:t>
      </w:r>
      <w:r w:rsidR="00D940C7" w:rsidRPr="00FB2A4D">
        <w:t xml:space="preserve"> for statewide procurement</w:t>
      </w:r>
      <w:r w:rsidR="00FB2A4D" w:rsidRPr="00FB2A4D">
        <w:t xml:space="preserve"> </w:t>
      </w:r>
      <w:r w:rsidR="00FB2A4D">
        <w:t xml:space="preserve">which </w:t>
      </w:r>
      <w:r w:rsidR="00FB2A4D" w:rsidRPr="00FB2A4D">
        <w:t>streamlined the process</w:t>
      </w:r>
      <w:r w:rsidR="00FB2A4D">
        <w:t xml:space="preserve"> and made the procurement smoother and quicker</w:t>
      </w:r>
      <w:r w:rsidR="00FB2A4D" w:rsidRPr="00FB2A4D">
        <w:t>.</w:t>
      </w:r>
    </w:p>
    <w:p w14:paraId="19F11654" w14:textId="77777777" w:rsidR="00F81D4C" w:rsidRDefault="00F81D4C" w:rsidP="006F11A5"/>
    <w:p w14:paraId="50F24465" w14:textId="77777777" w:rsidR="00FB2A4D" w:rsidRDefault="00FB2A4D" w:rsidP="006F11A5"/>
    <w:p w14:paraId="7936B326" w14:textId="77777777" w:rsidR="00BF5EB3" w:rsidRDefault="00BF5EB3" w:rsidP="00BF5EB3">
      <w:pPr>
        <w:pStyle w:val="Heading1"/>
      </w:pPr>
      <w:bookmarkStart w:id="42" w:name="_Toc508894701"/>
      <w:r>
        <w:t>Data Collection and Management</w:t>
      </w:r>
      <w:bookmarkEnd w:id="42"/>
    </w:p>
    <w:p w14:paraId="4283BE8D" w14:textId="77777777" w:rsidR="00BF5EB3" w:rsidRDefault="00BD0B73" w:rsidP="00D11DC5">
      <w:pPr>
        <w:pStyle w:val="Heading2"/>
      </w:pPr>
      <w:bookmarkStart w:id="43" w:name="_Toc508894702"/>
      <w:r>
        <w:t>D</w:t>
      </w:r>
      <w:r w:rsidR="00D11DC5" w:rsidRPr="00D11DC5">
        <w:t xml:space="preserve">ata </w:t>
      </w:r>
      <w:r>
        <w:t>C</w:t>
      </w:r>
      <w:r w:rsidR="00D11DC5" w:rsidRPr="00D11DC5">
        <w:t>ollect</w:t>
      </w:r>
      <w:r>
        <w:t>ion</w:t>
      </w:r>
      <w:bookmarkEnd w:id="43"/>
    </w:p>
    <w:p w14:paraId="533209E7" w14:textId="0FB3196D" w:rsidR="0010771D" w:rsidRDefault="00B008E3" w:rsidP="0010771D">
      <w:pPr>
        <w:spacing w:line="240" w:lineRule="auto"/>
        <w:contextualSpacing/>
      </w:pPr>
      <w:r>
        <w:t xml:space="preserve">The following data elements </w:t>
      </w:r>
      <w:r w:rsidR="00F17C61">
        <w:t xml:space="preserve">are </w:t>
      </w:r>
      <w:r>
        <w:t xml:space="preserve">gathered by the WisDOT’s </w:t>
      </w:r>
      <w:r w:rsidR="0010771D">
        <w:t>AVL/GPS system</w:t>
      </w:r>
      <w:r w:rsidR="0010771D" w:rsidRPr="00DB411A">
        <w:t>:</w:t>
      </w:r>
      <w:r w:rsidR="0010771D">
        <w:t xml:space="preserve"> </w:t>
      </w:r>
      <w:r w:rsidR="0010771D" w:rsidRPr="00DB411A">
        <w:t xml:space="preserve"> </w:t>
      </w:r>
    </w:p>
    <w:p w14:paraId="41B2C539" w14:textId="77777777" w:rsidR="0010771D" w:rsidRDefault="0010771D" w:rsidP="0010771D">
      <w:pPr>
        <w:spacing w:line="240" w:lineRule="auto"/>
        <w:contextualSpacing/>
      </w:pPr>
    </w:p>
    <w:p w14:paraId="0245018A" w14:textId="77777777" w:rsidR="0010771D" w:rsidRDefault="00B008E3" w:rsidP="0010771D">
      <w:pPr>
        <w:pStyle w:val="ListBullet"/>
        <w:spacing w:after="0"/>
      </w:pPr>
      <w:r>
        <w:t>Vehicle identifier, time stamp, vehicle location, speed, direction</w:t>
      </w:r>
    </w:p>
    <w:p w14:paraId="2C58B8D7" w14:textId="77777777" w:rsidR="00B008E3" w:rsidRDefault="00B008E3" w:rsidP="0010771D">
      <w:pPr>
        <w:pStyle w:val="ListBullet"/>
        <w:spacing w:after="0"/>
      </w:pPr>
      <w:r>
        <w:t>Engine diagnostics (including engine on/off, vehicle engine data/codes, vehicle odometer, vehicle mileage and vehicle idle time)</w:t>
      </w:r>
    </w:p>
    <w:p w14:paraId="62B7E24D" w14:textId="77777777" w:rsidR="00B008E3" w:rsidRDefault="00B008E3" w:rsidP="0010771D">
      <w:pPr>
        <w:pStyle w:val="ListBullet"/>
        <w:spacing w:after="0"/>
      </w:pPr>
      <w:r>
        <w:t>Type of material applied</w:t>
      </w:r>
    </w:p>
    <w:p w14:paraId="43719EC8" w14:textId="77777777" w:rsidR="00B008E3" w:rsidRDefault="00B008E3" w:rsidP="0010771D">
      <w:pPr>
        <w:pStyle w:val="ListBullet"/>
        <w:spacing w:after="0"/>
      </w:pPr>
      <w:r>
        <w:t>Material application rate</w:t>
      </w:r>
    </w:p>
    <w:p w14:paraId="78E52D54" w14:textId="77777777" w:rsidR="0010771D" w:rsidRDefault="0010771D" w:rsidP="0010771D">
      <w:pPr>
        <w:pStyle w:val="ListBullet"/>
        <w:spacing w:after="0"/>
      </w:pPr>
      <w:r>
        <w:t>A</w:t>
      </w:r>
      <w:r w:rsidRPr="00DB411A">
        <w:t>i</w:t>
      </w:r>
      <w:r>
        <w:t xml:space="preserve">r </w:t>
      </w:r>
      <w:r w:rsidR="00B008E3">
        <w:t>and road surface temperatures</w:t>
      </w:r>
    </w:p>
    <w:p w14:paraId="0B08E515" w14:textId="77777777" w:rsidR="0010771D" w:rsidRDefault="0010771D" w:rsidP="0010771D">
      <w:pPr>
        <w:pStyle w:val="ListBullet"/>
        <w:spacing w:after="0"/>
      </w:pPr>
      <w:r>
        <w:t xml:space="preserve">Plow position </w:t>
      </w:r>
      <w:r w:rsidR="00B008E3">
        <w:t>(</w:t>
      </w:r>
      <w:r>
        <w:t>front</w:t>
      </w:r>
      <w:r w:rsidR="00B008E3">
        <w:t>, underbody</w:t>
      </w:r>
      <w:r>
        <w:t xml:space="preserve"> and wing plows)</w:t>
      </w:r>
    </w:p>
    <w:p w14:paraId="6F4909F4" w14:textId="77777777" w:rsidR="0010771D" w:rsidRDefault="0010771D" w:rsidP="006F2F90"/>
    <w:p w14:paraId="600FBFBD" w14:textId="36D46E24" w:rsidR="001A3682" w:rsidRDefault="00B008E3" w:rsidP="006F2F90">
      <w:r>
        <w:lastRenderedPageBreak/>
        <w:t xml:space="preserve">Data </w:t>
      </w:r>
      <w:r w:rsidR="00F17C61">
        <w:t xml:space="preserve">are </w:t>
      </w:r>
      <w:r>
        <w:t xml:space="preserve">transmitted to the PreCise data sever once per minute when vehicles </w:t>
      </w:r>
      <w:r w:rsidR="00F17C61">
        <w:t xml:space="preserve">are </w:t>
      </w:r>
      <w:r>
        <w:t xml:space="preserve">within cellular coverage range.  </w:t>
      </w:r>
      <w:r w:rsidR="001A3682">
        <w:t xml:space="preserve">All data </w:t>
      </w:r>
      <w:r w:rsidR="00F17C61">
        <w:t xml:space="preserve">are </w:t>
      </w:r>
      <w:r w:rsidR="001A3682">
        <w:t xml:space="preserve">stored on </w:t>
      </w:r>
      <w:r w:rsidR="005139DA">
        <w:t xml:space="preserve">the </w:t>
      </w:r>
      <w:r w:rsidR="00185F80">
        <w:t>PreCise</w:t>
      </w:r>
      <w:r w:rsidR="001A3682">
        <w:t xml:space="preserve"> server</w:t>
      </w:r>
      <w:r w:rsidR="001E26C3">
        <w:t>,</w:t>
      </w:r>
      <w:r w:rsidR="005139DA">
        <w:t xml:space="preserve"> </w:t>
      </w:r>
      <w:r w:rsidR="001A3682">
        <w:t xml:space="preserve">and </w:t>
      </w:r>
      <w:r w:rsidR="005139DA">
        <w:t xml:space="preserve">WisDOT and county highway departments </w:t>
      </w:r>
      <w:r w:rsidR="001E26C3">
        <w:t xml:space="preserve">could access the data </w:t>
      </w:r>
      <w:r w:rsidR="001A3682">
        <w:t xml:space="preserve">through the </w:t>
      </w:r>
      <w:r w:rsidR="005139DA">
        <w:t xml:space="preserve">PreCise AVL </w:t>
      </w:r>
      <w:r w:rsidR="001E26C3">
        <w:t>software interface.</w:t>
      </w:r>
    </w:p>
    <w:p w14:paraId="573B974A" w14:textId="77777777" w:rsidR="00F80937" w:rsidRDefault="00F80937" w:rsidP="006F2F90"/>
    <w:p w14:paraId="2427E5B9" w14:textId="7CD9C14A" w:rsidR="00F80937" w:rsidRDefault="00796033" w:rsidP="006F2F90">
      <w:r>
        <w:t xml:space="preserve">WisDOT chose to have the AVL vendor host the data storage on an off-site server to minimize internal staff commitment and resources required to develop, manage and maintain a database and reporting system.  This approach also minimized WisDOT’s exposure to IT risks.  PreCise </w:t>
      </w:r>
      <w:r w:rsidR="00F17C61">
        <w:t xml:space="preserve">is </w:t>
      </w:r>
      <w:r>
        <w:t xml:space="preserve">responsible for archiving all data collected for a duration of five years.  </w:t>
      </w:r>
      <w:r w:rsidR="00245373">
        <w:t xml:space="preserve">WisDOT </w:t>
      </w:r>
      <w:r w:rsidR="00F17C61">
        <w:t xml:space="preserve">owns </w:t>
      </w:r>
      <w:r w:rsidR="00245373">
        <w:t xml:space="preserve">all data, and </w:t>
      </w:r>
      <w:r>
        <w:t xml:space="preserve">WisDOT and county highway departments </w:t>
      </w:r>
      <w:r w:rsidR="00F17C61">
        <w:t xml:space="preserve">can </w:t>
      </w:r>
      <w:r>
        <w:t xml:space="preserve">access the data at any time.  Historical data </w:t>
      </w:r>
      <w:r w:rsidR="00F17C61">
        <w:t xml:space="preserve">are </w:t>
      </w:r>
      <w:r>
        <w:t>available for playback via the web-based software interface and for download via text file or XML format.</w:t>
      </w:r>
      <w:r w:rsidR="00434FFB">
        <w:t xml:space="preserve">  Historical data are also available via MDSS.</w:t>
      </w:r>
    </w:p>
    <w:p w14:paraId="29A4BD01" w14:textId="77777777" w:rsidR="009A273C" w:rsidRDefault="009A273C" w:rsidP="006F2F90"/>
    <w:p w14:paraId="2FF39E30" w14:textId="77777777" w:rsidR="009A273C" w:rsidRDefault="009A273C" w:rsidP="006F2F90">
      <w:r>
        <w:t xml:space="preserve">The AVL/GPS system data is </w:t>
      </w:r>
      <w:r w:rsidR="00B21ED9">
        <w:t xml:space="preserve">also made </w:t>
      </w:r>
      <w:r>
        <w:t xml:space="preserve">available to the Wisconsin Traffic Operations and Safety (TOPS) Laboratory for planning, operational analysis, research, and training.  The TOPS Laboratory, based at the University of Wisconsin-Madison, is an academic partner to WisDOT, collaborating on transportation operations, planning and research.  The TOPS Laboratory archives data from a variety of winter maintenance data sources, </w:t>
      </w:r>
      <w:r w:rsidRPr="009A273C">
        <w:t>including atmospheric and road surface weather data from the WisDOT Road Weather Information System (RWIS) for January 2006 to the present, WisDOT</w:t>
      </w:r>
      <w:r>
        <w:t xml:space="preserve"> Bureau of Highway Maintenance</w:t>
      </w:r>
      <w:r w:rsidRPr="009A273C">
        <w:t xml:space="preserve"> Winter Storm Report System data for November 2013 to present, and a repository of WisDOT Maintenance Decision Support System (MDSS) and aggregated snow plow AVL / GPS data from 2010.</w:t>
      </w:r>
    </w:p>
    <w:p w14:paraId="30087493" w14:textId="77777777" w:rsidR="00BF5EB3" w:rsidRDefault="006F2F90" w:rsidP="00D11DC5">
      <w:pPr>
        <w:pStyle w:val="Heading2"/>
      </w:pPr>
      <w:bookmarkStart w:id="44" w:name="_Toc508894703"/>
      <w:r>
        <w:t>D</w:t>
      </w:r>
      <w:r w:rsidR="00D11DC5" w:rsidRPr="00D11DC5">
        <w:t xml:space="preserve">ata </w:t>
      </w:r>
      <w:r>
        <w:t>A</w:t>
      </w:r>
      <w:r w:rsidR="00D11DC5" w:rsidRPr="00D11DC5">
        <w:t>ccuracy</w:t>
      </w:r>
      <w:bookmarkEnd w:id="44"/>
      <w:r w:rsidR="00D11DC5" w:rsidRPr="00D11DC5">
        <w:t xml:space="preserve"> </w:t>
      </w:r>
    </w:p>
    <w:p w14:paraId="4F6CFCC6" w14:textId="77777777" w:rsidR="00245373" w:rsidRDefault="00245373" w:rsidP="006F2F90">
      <w:r>
        <w:t>WisDOT and Sauk County did not report any data accuracy issues with the AVL/GPS system.  However, data accuracy issues with MDSS were reported by the county staff.</w:t>
      </w:r>
    </w:p>
    <w:p w14:paraId="232A1BD0" w14:textId="77777777" w:rsidR="00245373" w:rsidRDefault="00245373" w:rsidP="006F2F90"/>
    <w:p w14:paraId="2179B2E9" w14:textId="48D938BC" w:rsidR="00245373" w:rsidRDefault="00245373" w:rsidP="006F2F90">
      <w:r>
        <w:t xml:space="preserve">WisDOT had previously stopped reporting vehicle sensor data through the AVL/GPS system to MDSS due to patent litigation issues in past years.  WisDOT chose not to pay a licensing fee per truck for the data connection, and some </w:t>
      </w:r>
      <w:r w:rsidR="00434FFB">
        <w:t>c</w:t>
      </w:r>
      <w:r>
        <w:t>ounties saw a drop in the reliability of the MDSS forecasts and treatment recommendations due to the loss of real-time vehicle sensor data, primarily on air and pavement temperatures.</w:t>
      </w:r>
    </w:p>
    <w:p w14:paraId="54D15EE6" w14:textId="77777777" w:rsidR="00245373" w:rsidRDefault="00245373" w:rsidP="006F2F90"/>
    <w:p w14:paraId="7F32779D" w14:textId="4EF8D026" w:rsidR="006F2F90" w:rsidRDefault="00CB1E8F" w:rsidP="006F2F90">
      <w:r>
        <w:t>T</w:t>
      </w:r>
      <w:r w:rsidR="006F2F90">
        <w:t xml:space="preserve">he Sauk County Patrol Superintendent noted that </w:t>
      </w:r>
      <w:r>
        <w:t xml:space="preserve">improvements in </w:t>
      </w:r>
      <w:r w:rsidR="006F2F90">
        <w:t xml:space="preserve">MDSS </w:t>
      </w:r>
      <w:r>
        <w:t>weather forecasts and treatment recommendations have been observed for</w:t>
      </w:r>
      <w:r w:rsidR="006F2F90">
        <w:t xml:space="preserve"> this current year</w:t>
      </w:r>
      <w:r>
        <w:t xml:space="preserve"> due to the ability to provide air and</w:t>
      </w:r>
      <w:r w:rsidR="003A009F">
        <w:t xml:space="preserve"> pavement temperature data through the </w:t>
      </w:r>
      <w:r w:rsidR="00D129EC">
        <w:t>AVL/GPS</w:t>
      </w:r>
      <w:r w:rsidR="003A009F">
        <w:t xml:space="preserve"> system to MDSS</w:t>
      </w:r>
      <w:r w:rsidR="00434FFB">
        <w:t xml:space="preserve"> once the patent issues were resolved</w:t>
      </w:r>
      <w:r w:rsidR="006F2F90">
        <w:t xml:space="preserve">. </w:t>
      </w:r>
    </w:p>
    <w:p w14:paraId="4E23CEFA" w14:textId="77777777" w:rsidR="00BF5EB3" w:rsidRDefault="00D11DC5" w:rsidP="00D11DC5">
      <w:pPr>
        <w:pStyle w:val="Heading2"/>
      </w:pPr>
      <w:bookmarkStart w:id="45" w:name="_Toc508894704"/>
      <w:r w:rsidRPr="00D11DC5">
        <w:t xml:space="preserve">Staffing and </w:t>
      </w:r>
      <w:r w:rsidR="00053FBD">
        <w:t>R</w:t>
      </w:r>
      <w:r w:rsidRPr="00D11DC5">
        <w:t>esources</w:t>
      </w:r>
      <w:bookmarkEnd w:id="45"/>
      <w:r w:rsidRPr="00D11DC5">
        <w:t xml:space="preserve"> </w:t>
      </w:r>
    </w:p>
    <w:p w14:paraId="4EC819EC" w14:textId="77777777" w:rsidR="00BF5EB3" w:rsidRDefault="009467CF" w:rsidP="003A009F">
      <w:r>
        <w:t xml:space="preserve">Neither WisDOT nor Sauk County staff indicated any staffing or resource </w:t>
      </w:r>
      <w:r w:rsidR="005C0203">
        <w:t xml:space="preserve">issues </w:t>
      </w:r>
      <w:r>
        <w:t>for data collection and management</w:t>
      </w:r>
      <w:r w:rsidR="005C0203">
        <w:t>.</w:t>
      </w:r>
    </w:p>
    <w:p w14:paraId="6D97490D" w14:textId="77777777" w:rsidR="00D11DC5" w:rsidRDefault="00D11DC5" w:rsidP="00D11DC5">
      <w:pPr>
        <w:pStyle w:val="Heading2"/>
      </w:pPr>
      <w:bookmarkStart w:id="46" w:name="_Toc508894705"/>
      <w:r>
        <w:t>System Data Usage</w:t>
      </w:r>
      <w:bookmarkEnd w:id="46"/>
    </w:p>
    <w:p w14:paraId="5FDA5B27" w14:textId="2BF76615" w:rsidR="003720EB" w:rsidRPr="003720EB" w:rsidRDefault="003720EB" w:rsidP="00AC7874">
      <w:pPr>
        <w:pStyle w:val="BodyText"/>
      </w:pPr>
      <w:r w:rsidRPr="003720EB">
        <w:t xml:space="preserve">WisDOT primarily uses the </w:t>
      </w:r>
      <w:r w:rsidR="00D129EC">
        <w:t>AVL/GPS</w:t>
      </w:r>
      <w:r w:rsidRPr="003720EB">
        <w:t xml:space="preserve"> </w:t>
      </w:r>
      <w:r w:rsidR="005C0203">
        <w:t>data for managing material usage.  WisDOT uses the AVL/GPS system interface</w:t>
      </w:r>
      <w:r w:rsidRPr="003720EB">
        <w:t xml:space="preserve"> for post-storm analysis to review how </w:t>
      </w:r>
      <w:r w:rsidR="00434FFB">
        <w:t>c</w:t>
      </w:r>
      <w:r w:rsidRPr="003720EB">
        <w:t xml:space="preserve">ounties have used </w:t>
      </w:r>
      <w:r w:rsidR="005C0203">
        <w:t>different types and amounts of</w:t>
      </w:r>
      <w:r w:rsidRPr="003720EB">
        <w:t xml:space="preserve"> materials in response to winter weather.  In the event that </w:t>
      </w:r>
      <w:r>
        <w:t xml:space="preserve">a </w:t>
      </w:r>
      <w:r w:rsidRPr="003720EB">
        <w:t xml:space="preserve">review finds a discrepancy between certain areas of the </w:t>
      </w:r>
      <w:r w:rsidR="00434FFB">
        <w:t>c</w:t>
      </w:r>
      <w:r w:rsidRPr="003720EB">
        <w:t xml:space="preserve">ounty in terms of </w:t>
      </w:r>
      <w:r w:rsidR="005C0203">
        <w:t>types or amounts of material applied</w:t>
      </w:r>
      <w:r w:rsidRPr="003720EB">
        <w:t xml:space="preserve">, WisDOT will contact the </w:t>
      </w:r>
      <w:r w:rsidR="00101D49">
        <w:t>c</w:t>
      </w:r>
      <w:r w:rsidRPr="003720EB">
        <w:t>ounties and present the findings to them for their review and com</w:t>
      </w:r>
      <w:r w:rsidR="005C0203">
        <w:t>ment.</w:t>
      </w:r>
    </w:p>
    <w:p w14:paraId="70EF8487" w14:textId="77777777" w:rsidR="001F191E" w:rsidRDefault="001F191E" w:rsidP="0063186E">
      <w:pPr>
        <w:pStyle w:val="BodyText"/>
      </w:pPr>
      <w:r>
        <w:t xml:space="preserve">WisDOT is exploring the use of the AVL/GPS data for route optimization.  In 2016, 34 Wisconsin counties collaborated with WisDOT on a pilot project to determine the value of using the AVL/GPS data and GIS </w:t>
      </w:r>
      <w:r>
        <w:lastRenderedPageBreak/>
        <w:t>technology for optimizing a route traveled by taking less left turns or U-turns and for equalizing the length of time between routes.  Two of the 34 counties involved have begun analyzing return on investment for the 2016-2017 winter.</w:t>
      </w:r>
    </w:p>
    <w:p w14:paraId="5F98CAA3" w14:textId="5B92B13D" w:rsidR="001E30CA" w:rsidRDefault="00FA3CBD" w:rsidP="001E30CA">
      <w:r w:rsidRPr="001E30CA">
        <w:t xml:space="preserve">The AVL/GPS system also feeds data to MDSS.  </w:t>
      </w:r>
      <w:r w:rsidR="00CB1E8F" w:rsidRPr="001E30CA">
        <w:t xml:space="preserve">The MDSS interface </w:t>
      </w:r>
      <w:r w:rsidRPr="001E30CA">
        <w:t xml:space="preserve">is primarily used by </w:t>
      </w:r>
      <w:r w:rsidR="00CB1E8F" w:rsidRPr="001E30CA">
        <w:t>County Patrol Superintendents</w:t>
      </w:r>
      <w:r w:rsidR="001E30CA" w:rsidRPr="001E30CA">
        <w:t xml:space="preserve">.  MDSS provides </w:t>
      </w:r>
      <w:r w:rsidR="00CB1E8F" w:rsidRPr="001E30CA">
        <w:t xml:space="preserve">a weather forecast over the coming </w:t>
      </w:r>
      <w:r w:rsidR="00355E68">
        <w:t>48</w:t>
      </w:r>
      <w:r w:rsidR="00355E68" w:rsidRPr="001E30CA">
        <w:t xml:space="preserve"> </w:t>
      </w:r>
      <w:r w:rsidR="00CB1E8F" w:rsidRPr="001E30CA">
        <w:t xml:space="preserve">hours that will indicate where and when winter maintenance </w:t>
      </w:r>
      <w:r w:rsidR="001E30CA" w:rsidRPr="001E30CA">
        <w:t>activities are</w:t>
      </w:r>
      <w:r w:rsidR="00CB1E8F" w:rsidRPr="001E30CA">
        <w:t xml:space="preserve"> recommended.  </w:t>
      </w:r>
      <w:r w:rsidR="003A009F">
        <w:t xml:space="preserve">Individual counties </w:t>
      </w:r>
      <w:r w:rsidR="001E30CA">
        <w:t>can also</w:t>
      </w:r>
      <w:r w:rsidR="003A009F">
        <w:t xml:space="preserve"> view MDSS </w:t>
      </w:r>
      <w:r w:rsidR="001E30CA">
        <w:t xml:space="preserve">treatment </w:t>
      </w:r>
      <w:r w:rsidR="003A009F">
        <w:t xml:space="preserve">recommendations for neighboring counties to gain a better picture on winter storms and progression. Based on the MDSS information, </w:t>
      </w:r>
      <w:r w:rsidR="001E30CA">
        <w:t>counties</w:t>
      </w:r>
      <w:r w:rsidR="003A009F">
        <w:t xml:space="preserve"> </w:t>
      </w:r>
      <w:r w:rsidR="001E30CA">
        <w:t>can</w:t>
      </w:r>
      <w:r w:rsidR="003A009F">
        <w:t xml:space="preserve"> </w:t>
      </w:r>
      <w:r w:rsidR="00355E68">
        <w:t>coordinate with</w:t>
      </w:r>
      <w:r w:rsidR="003A009F">
        <w:t xml:space="preserve"> their neighboring counties to get updates on current weather and treatment plans in effect</w:t>
      </w:r>
      <w:r w:rsidR="001E30CA">
        <w:t>, and make adjustments to their plans</w:t>
      </w:r>
      <w:r w:rsidR="003A009F">
        <w:t xml:space="preserve">.  </w:t>
      </w:r>
      <w:r w:rsidR="001E30CA" w:rsidRPr="001E30CA">
        <w:t>WisDOT staff and County Patrol Superintendents also use analytical tools within the MDSS interface for post-storm reviews and analyses.</w:t>
      </w:r>
      <w:r w:rsidR="001E30CA" w:rsidRPr="002B027A">
        <w:t xml:space="preserve">  </w:t>
      </w:r>
      <w:r w:rsidR="001E30CA">
        <w:t xml:space="preserve">  </w:t>
      </w:r>
    </w:p>
    <w:p w14:paraId="03A2BC2A" w14:textId="77777777" w:rsidR="001E30CA" w:rsidRDefault="001E30CA" w:rsidP="003A009F"/>
    <w:p w14:paraId="15194EC8" w14:textId="25A66959" w:rsidR="003A009F" w:rsidRDefault="003A009F" w:rsidP="003A009F">
      <w:r>
        <w:t>Data is available to the Traffic Operations and Safety (TOPS) Laboratory for operational analysis, research, and training.</w:t>
      </w:r>
    </w:p>
    <w:p w14:paraId="06F018FD" w14:textId="77777777" w:rsidR="00FA3CBD" w:rsidRDefault="00FA3CBD" w:rsidP="003A009F"/>
    <w:p w14:paraId="43FB5C94" w14:textId="1181525E" w:rsidR="001E30CA" w:rsidRDefault="00FA3CBD" w:rsidP="001E30CA">
      <w:r>
        <w:t xml:space="preserve">WisDOT and </w:t>
      </w:r>
      <w:r w:rsidR="00101D49">
        <w:t>c</w:t>
      </w:r>
      <w:r>
        <w:t xml:space="preserve">ounties also use the engine diagnostics to monitor vehicle health and for preventive maintenance.  Mechanics use the data to monitor </w:t>
      </w:r>
      <w:r w:rsidRPr="00F777B2">
        <w:t>vehicle engine codes, vehicle odometer, vehicle mileage</w:t>
      </w:r>
      <w:r>
        <w:t>,</w:t>
      </w:r>
      <w:r w:rsidRPr="00F777B2">
        <w:t xml:space="preserve"> vehicle idle time</w:t>
      </w:r>
      <w:r>
        <w:t xml:space="preserve">, vehicle battery voltage, etc.  Sauk County staff noted that the AVL/GPS system </w:t>
      </w:r>
      <w:r w:rsidRPr="00134E0E">
        <w:t>was not connected to the OBD ports on their vehicles due to concerns over integration issues.  It was</w:t>
      </w:r>
      <w:r>
        <w:t xml:space="preserve"> acknowledged that additional engine diagnostic data would be available if the connect was made between the AVL/GPS equipment and the vehicle OBD port.</w:t>
      </w:r>
    </w:p>
    <w:p w14:paraId="1D1B7C39" w14:textId="77777777" w:rsidR="001E30CA" w:rsidRDefault="001E30CA" w:rsidP="001E30CA"/>
    <w:p w14:paraId="4279641C" w14:textId="008D20B1" w:rsidR="001E30CA" w:rsidRDefault="00B21ED9" w:rsidP="001E30CA">
      <w:r>
        <w:t>WisDOT, in collaboration with the Wisconsin TOPS Laboratory, also uses t</w:t>
      </w:r>
      <w:r w:rsidR="001E30CA">
        <w:t>he AVL/GPS system d</w:t>
      </w:r>
      <w:r>
        <w:t>ata, MDSS data and other winter maintenance data for</w:t>
      </w:r>
      <w:r w:rsidR="001E30CA">
        <w:t xml:space="preserve"> planning, operational analysis, research, and training.</w:t>
      </w:r>
    </w:p>
    <w:p w14:paraId="412BC9BE" w14:textId="7EF6F6E9" w:rsidR="007038B3" w:rsidRDefault="007038B3" w:rsidP="001E30CA"/>
    <w:p w14:paraId="636B452C" w14:textId="5E951A5B" w:rsidR="007038B3" w:rsidRDefault="007038B3" w:rsidP="001E30CA">
      <w:r>
        <w:t>Finally, WisDOT is also exploring the use of AVL system data in the preparation of their</w:t>
      </w:r>
      <w:r w:rsidRPr="003720EB">
        <w:t xml:space="preserve"> Annual Winter Maintenance Report</w:t>
      </w:r>
      <w:r>
        <w:t>s, which</w:t>
      </w:r>
      <w:r w:rsidRPr="003720EB">
        <w:t xml:space="preserve"> present</w:t>
      </w:r>
      <w:r>
        <w:t>s</w:t>
      </w:r>
      <w:r w:rsidRPr="003720EB">
        <w:t xml:space="preserve"> a summary of how the </w:t>
      </w:r>
      <w:r w:rsidR="00101D49">
        <w:t>c</w:t>
      </w:r>
      <w:r w:rsidRPr="003720EB">
        <w:t>ounties and the state as a whole performed in response to winter weather</w:t>
      </w:r>
      <w:r>
        <w:t xml:space="preserve"> each year</w:t>
      </w:r>
      <w:r w:rsidRPr="003720EB">
        <w:t xml:space="preserve">.  </w:t>
      </w:r>
      <w:r>
        <w:t xml:space="preserve">The report includes summary statistics on types of materials used and costs of the materials.  It also highlights best practices by </w:t>
      </w:r>
      <w:r w:rsidR="00101D49">
        <w:t>c</w:t>
      </w:r>
      <w:r>
        <w:t xml:space="preserve">ounties with respect to winter maintenance.  In addition, the report includes performance measures and </w:t>
      </w:r>
      <w:r w:rsidRPr="003720EB">
        <w:t>illustrate</w:t>
      </w:r>
      <w:r>
        <w:t>s</w:t>
      </w:r>
      <w:r w:rsidRPr="003720EB">
        <w:t xml:space="preserve"> how </w:t>
      </w:r>
      <w:r w:rsidR="00101D49">
        <w:t>c</w:t>
      </w:r>
      <w:r w:rsidRPr="003720EB">
        <w:t xml:space="preserve">ounties are performing in relation to neighboring </w:t>
      </w:r>
      <w:r w:rsidR="00101D49">
        <w:t>c</w:t>
      </w:r>
      <w:r w:rsidRPr="003720EB">
        <w:t>ounties with respect to material usage and other measures for winter maintenance.</w:t>
      </w:r>
      <w:r>
        <w:t xml:space="preserve">  For reference, the 2016-17 Annual Winter Maintenance Report is available from WisDOT at the following address: </w:t>
      </w:r>
      <w:hyperlink r:id="rId27" w:history="1">
        <w:r w:rsidRPr="00C82B26">
          <w:rPr>
            <w:rStyle w:val="Hyperlink"/>
          </w:rPr>
          <w:t>http://wisconsindot.gov/Documents/doing-bus/local-gov/hwy-mnt/winter-maintenance/workers/2016-2017annualreport.pdf</w:t>
        </w:r>
      </w:hyperlink>
    </w:p>
    <w:p w14:paraId="46025200" w14:textId="77777777" w:rsidR="00D11DC5" w:rsidRDefault="00D11DC5" w:rsidP="00D11DC5">
      <w:pPr>
        <w:pStyle w:val="Heading2"/>
      </w:pPr>
      <w:bookmarkStart w:id="47" w:name="_Toc508894706"/>
      <w:r>
        <w:t>Agency Policy and Agreements for Data Sharing</w:t>
      </w:r>
      <w:bookmarkEnd w:id="47"/>
    </w:p>
    <w:p w14:paraId="62109CF2" w14:textId="223CDF6A" w:rsidR="0097223E" w:rsidRDefault="0097223E" w:rsidP="00D11DC5">
      <w:r>
        <w:t xml:space="preserve">WisDOT and all </w:t>
      </w:r>
      <w:r w:rsidR="00101D49">
        <w:t>c</w:t>
      </w:r>
      <w:r>
        <w:t>ounties in Wisconsin have a unique arrangement that winter maintenance operations on all Interstates and State highways are performed by county highway departments.  WisDOT extends this agreement to include sharing of data for winter maintenance operations.  County snow plows equipped with WisDOT funded AVL system provided data</w:t>
      </w:r>
      <w:r w:rsidR="00036C67">
        <w:t xml:space="preserve"> to WisDOT and stored on the PreCise server and the Iteris MDSS server.  Counties could use the PreCise and MDSS interfaces to view the data as well as weather forecasts and MDSS treatment recommendations in their own counties and neighboring counties.</w:t>
      </w:r>
    </w:p>
    <w:p w14:paraId="3261CCAD" w14:textId="77777777" w:rsidR="0097223E" w:rsidRDefault="0097223E" w:rsidP="00D11DC5"/>
    <w:p w14:paraId="6CF5DDBD" w14:textId="695CA7F8" w:rsidR="00664FF9" w:rsidRDefault="00EF0793" w:rsidP="00D11DC5">
      <w:r w:rsidRPr="00EF0793">
        <w:t xml:space="preserve">WisDOT </w:t>
      </w:r>
      <w:r w:rsidR="00036C67">
        <w:t>did</w:t>
      </w:r>
      <w:r w:rsidRPr="00EF0793">
        <w:t xml:space="preserve"> not provide winter maintenance vehicle locations to the public on a traffic information </w:t>
      </w:r>
      <w:r w:rsidR="00036C67">
        <w:t xml:space="preserve">web </w:t>
      </w:r>
      <w:r w:rsidRPr="00EF0793">
        <w:t>page</w:t>
      </w:r>
      <w:r w:rsidR="00036C67">
        <w:t xml:space="preserve">.  </w:t>
      </w:r>
      <w:r w:rsidR="00DF4559">
        <w:t xml:space="preserve">This decision is left to the individual counties, none of which currently make the data publicly available.  </w:t>
      </w:r>
      <w:r w:rsidR="00036C67">
        <w:t xml:space="preserve">WisDOT </w:t>
      </w:r>
      <w:r w:rsidRPr="00EF0793">
        <w:t xml:space="preserve">noted the potential liability concerns due to all winter maintenance activities </w:t>
      </w:r>
      <w:r w:rsidR="002A54FC">
        <w:t xml:space="preserve">being </w:t>
      </w:r>
      <w:r w:rsidRPr="00EF0793">
        <w:t xml:space="preserve">performed by </w:t>
      </w:r>
      <w:r w:rsidR="00101D49">
        <w:t>c</w:t>
      </w:r>
      <w:r w:rsidR="00036C67">
        <w:t>ounties as a main reason.</w:t>
      </w:r>
    </w:p>
    <w:p w14:paraId="2F489425" w14:textId="77777777" w:rsidR="000E221E" w:rsidRDefault="000E221E" w:rsidP="00D11DC5"/>
    <w:p w14:paraId="0E682C48" w14:textId="77777777" w:rsidR="00036C67" w:rsidRDefault="00036C67" w:rsidP="00D11DC5"/>
    <w:p w14:paraId="4D777BA8" w14:textId="77777777" w:rsidR="0060057F" w:rsidRDefault="0060057F" w:rsidP="0060057F">
      <w:pPr>
        <w:pStyle w:val="Heading1"/>
      </w:pPr>
      <w:bookmarkStart w:id="48" w:name="_Toc508894707"/>
      <w:r>
        <w:lastRenderedPageBreak/>
        <w:t>System Implementation Process</w:t>
      </w:r>
      <w:bookmarkEnd w:id="48"/>
    </w:p>
    <w:p w14:paraId="7BCFAA07" w14:textId="77777777" w:rsidR="00AC11AE" w:rsidRDefault="0060057F" w:rsidP="004019E0">
      <w:pPr>
        <w:pStyle w:val="Heading2"/>
      </w:pPr>
      <w:bookmarkStart w:id="49" w:name="_Toc508894708"/>
      <w:r w:rsidRPr="0060057F">
        <w:t xml:space="preserve">Implementation </w:t>
      </w:r>
      <w:r w:rsidR="00053FBD">
        <w:t>S</w:t>
      </w:r>
      <w:r w:rsidRPr="0060057F">
        <w:t>teps</w:t>
      </w:r>
      <w:bookmarkEnd w:id="49"/>
      <w:r w:rsidRPr="0060057F">
        <w:t xml:space="preserve"> </w:t>
      </w:r>
    </w:p>
    <w:p w14:paraId="68BAD21D" w14:textId="37B810E5" w:rsidR="000D0AC9" w:rsidRDefault="000D0AC9" w:rsidP="000D0AC9">
      <w:pPr>
        <w:spacing w:line="240" w:lineRule="auto"/>
      </w:pPr>
      <w:r>
        <w:t>As noted earlier, winter maintenance operations on a</w:t>
      </w:r>
      <w:r w:rsidRPr="000D0AC9">
        <w:t xml:space="preserve">ll Interstates and state highways are performed by counties. </w:t>
      </w:r>
      <w:r>
        <w:t xml:space="preserve"> </w:t>
      </w:r>
      <w:r w:rsidRPr="000D0AC9">
        <w:t>WisDOT provides funding to the counties</w:t>
      </w:r>
      <w:r>
        <w:t xml:space="preserve"> for performing winter maintenance on those routes</w:t>
      </w:r>
      <w:r w:rsidRPr="000D0AC9">
        <w:t>, but does not own any of the snow plow vehicles or any of the equipment associated with the vehicles.  This arrangement of winter maintenance operations has been in place between the state and the counties for nearly 90 years.</w:t>
      </w:r>
    </w:p>
    <w:p w14:paraId="621BA13D" w14:textId="77777777" w:rsidR="000D0AC9" w:rsidRDefault="000D0AC9" w:rsidP="000D0AC9">
      <w:pPr>
        <w:spacing w:line="240" w:lineRule="auto"/>
      </w:pPr>
    </w:p>
    <w:p w14:paraId="590580EB" w14:textId="2B6CFA35" w:rsidR="00B440D5" w:rsidRDefault="000D0AC9" w:rsidP="000D0AC9">
      <w:pPr>
        <w:spacing w:line="240" w:lineRule="auto"/>
      </w:pPr>
      <w:r w:rsidRPr="000D0AC9">
        <w:t xml:space="preserve">WisDOT allows each of the 72 counties to procure their own snow plows and equipment that are used for winter maintenance operations on Interstates and state highways.  </w:t>
      </w:r>
      <w:r w:rsidR="00B440D5">
        <w:t xml:space="preserve">Prior to procurement, </w:t>
      </w:r>
      <w:r>
        <w:t xml:space="preserve">WisDOT staff traveled to </w:t>
      </w:r>
      <w:r w:rsidR="00DF4559">
        <w:t>c</w:t>
      </w:r>
      <w:r>
        <w:t xml:space="preserve">ounties to present how </w:t>
      </w:r>
      <w:r w:rsidR="00B440D5">
        <w:t>they</w:t>
      </w:r>
      <w:r>
        <w:t xml:space="preserve"> could procure and install </w:t>
      </w:r>
      <w:r w:rsidR="00B440D5">
        <w:t>an</w:t>
      </w:r>
      <w:r>
        <w:t xml:space="preserve"> AVL/GPS system in a manner that would be consistent throughout the state.</w:t>
      </w:r>
      <w:r w:rsidR="00B440D5">
        <w:t xml:space="preserve">  C</w:t>
      </w:r>
      <w:r>
        <w:t>ounties were then responsible for the procurement and solicitation process of AVL/GPS equipment, in the same way that they were already responsible for the procurement of winter maintenance veh</w:t>
      </w:r>
      <w:r w:rsidR="00B440D5">
        <w:t>icles and snow plow equipment.</w:t>
      </w:r>
    </w:p>
    <w:p w14:paraId="432F9675" w14:textId="77777777" w:rsidR="00AA5AA0" w:rsidRDefault="00AA5AA0" w:rsidP="000D0AC9">
      <w:pPr>
        <w:spacing w:line="240" w:lineRule="auto"/>
      </w:pPr>
    </w:p>
    <w:p w14:paraId="13ABCD3D" w14:textId="19AC015C" w:rsidR="000D0AC9" w:rsidRDefault="00AC387F" w:rsidP="00622AD3">
      <w:pPr>
        <w:spacing w:line="240" w:lineRule="auto"/>
      </w:pPr>
      <w:r>
        <w:t xml:space="preserve">Implementation of the AVL/GPS system began in 2009.  </w:t>
      </w:r>
      <w:r w:rsidR="00354C1F">
        <w:t xml:space="preserve">WisDOT initiated the second phase of the project via an RFP solicitation in 2016 to upgrade the AVL/GPS system.  This involved the replacement of </w:t>
      </w:r>
      <w:r w:rsidR="00DF4559">
        <w:t xml:space="preserve">some </w:t>
      </w:r>
      <w:r w:rsidR="00354C1F">
        <w:t>PreCise hardware previously installed and an upgrade of the cellular equipment from its previous 2G network capability to a 3G network capability.  The upgrade provided increased speeds in the vehicle’s reporting of real-time data, which improved the ability of County Patrol Superintendent to monitor vehicle locations and their response to winter weather storms.  Currently</w:t>
      </w:r>
      <w:r w:rsidR="000D0AC9">
        <w:t xml:space="preserve"> there </w:t>
      </w:r>
      <w:r w:rsidR="00354C1F">
        <w:t>are</w:t>
      </w:r>
      <w:r w:rsidR="000D0AC9">
        <w:t xml:space="preserve"> approximately 400 </w:t>
      </w:r>
      <w:r w:rsidR="00354C1F">
        <w:t>c</w:t>
      </w:r>
      <w:r w:rsidR="000D0AC9">
        <w:t xml:space="preserve">ounty snow plows that </w:t>
      </w:r>
      <w:r w:rsidR="00354C1F">
        <w:t>have been</w:t>
      </w:r>
      <w:r w:rsidR="000D0AC9">
        <w:t xml:space="preserve"> equipped with AVL/GPS system technology across nearly all the </w:t>
      </w:r>
      <w:r w:rsidR="00354C1F">
        <w:t>c</w:t>
      </w:r>
      <w:r w:rsidR="000D0AC9">
        <w:t xml:space="preserve">ounties in </w:t>
      </w:r>
      <w:r w:rsidR="00B440D5">
        <w:t>Wisconsin</w:t>
      </w:r>
      <w:r w:rsidR="00354C1F">
        <w:t>.</w:t>
      </w:r>
    </w:p>
    <w:p w14:paraId="40ED629E" w14:textId="77777777" w:rsidR="00AA1F7E" w:rsidRDefault="00AA1F7E" w:rsidP="00AA1F7E">
      <w:pPr>
        <w:spacing w:line="240" w:lineRule="auto"/>
      </w:pPr>
    </w:p>
    <w:p w14:paraId="6DED2FD9" w14:textId="79CD97DB" w:rsidR="003D255E" w:rsidRDefault="00AA1F7E" w:rsidP="003D255E">
      <w:pPr>
        <w:spacing w:line="240" w:lineRule="auto"/>
      </w:pPr>
      <w:r>
        <w:t xml:space="preserve">Installation of the current AVL/GPS equipment was performed by </w:t>
      </w:r>
      <w:r w:rsidR="00DF4559">
        <w:t xml:space="preserve">either </w:t>
      </w:r>
      <w:r>
        <w:t>county highway departments</w:t>
      </w:r>
      <w:r w:rsidR="00DF4559">
        <w:t>, PreCise, or third-party contractors</w:t>
      </w:r>
      <w:r>
        <w:t xml:space="preserve">.  PreCise provided training to county technicians who were responsible for the installation.  PreCise also provided on-site support for the installation on an as-needed basis under the requests by WisDOT or individual counties.  </w:t>
      </w:r>
      <w:r w:rsidR="003D255E">
        <w:t>In addition to installation training, PreCise also provided training on equipment maintenance and web-based software uses.</w:t>
      </w:r>
    </w:p>
    <w:p w14:paraId="3F51799D" w14:textId="77777777" w:rsidR="003D255E" w:rsidRDefault="003D255E" w:rsidP="003D255E">
      <w:pPr>
        <w:spacing w:line="240" w:lineRule="auto"/>
      </w:pPr>
    </w:p>
    <w:p w14:paraId="33B35786" w14:textId="77777777" w:rsidR="00AA1F7E" w:rsidRDefault="006F2F90" w:rsidP="00AA1F7E">
      <w:pPr>
        <w:spacing w:line="240" w:lineRule="auto"/>
      </w:pPr>
      <w:r w:rsidRPr="006F2F90">
        <w:t xml:space="preserve">Sauk County noted </w:t>
      </w:r>
      <w:r w:rsidR="00AA1F7E">
        <w:t xml:space="preserve">during the interview </w:t>
      </w:r>
      <w:r w:rsidRPr="006F2F90">
        <w:t xml:space="preserve">that </w:t>
      </w:r>
      <w:r w:rsidR="00AA1F7E">
        <w:t xml:space="preserve">the County dedicated </w:t>
      </w:r>
      <w:r w:rsidRPr="006F2F90">
        <w:t>two technicians for AVL/GPS installation</w:t>
      </w:r>
      <w:r>
        <w:t>.  O</w:t>
      </w:r>
      <w:r w:rsidRPr="006F2F90">
        <w:t xml:space="preserve">ne </w:t>
      </w:r>
      <w:r>
        <w:t>staff person handle</w:t>
      </w:r>
      <w:r w:rsidR="00AA1F7E">
        <w:t>d</w:t>
      </w:r>
      <w:r w:rsidRPr="006F2F90">
        <w:t xml:space="preserve"> the installation </w:t>
      </w:r>
      <w:r>
        <w:t xml:space="preserve">of </w:t>
      </w:r>
      <w:r w:rsidR="00D129EC">
        <w:t>AVL/GPS</w:t>
      </w:r>
      <w:r>
        <w:t xml:space="preserve"> equipment </w:t>
      </w:r>
      <w:r w:rsidRPr="006F2F90">
        <w:t xml:space="preserve">on new </w:t>
      </w:r>
      <w:r>
        <w:t xml:space="preserve">snow plow </w:t>
      </w:r>
      <w:r w:rsidRPr="006F2F90">
        <w:t>vehicles</w:t>
      </w:r>
      <w:r>
        <w:t>,</w:t>
      </w:r>
      <w:r w:rsidRPr="006F2F90">
        <w:t xml:space="preserve"> and another </w:t>
      </w:r>
      <w:r>
        <w:t>staff person install</w:t>
      </w:r>
      <w:r w:rsidR="00AA1F7E">
        <w:t>ed</w:t>
      </w:r>
      <w:r>
        <w:t xml:space="preserve"> the equipment on </w:t>
      </w:r>
      <w:r w:rsidR="00AA1F7E">
        <w:t>older vehicles.</w:t>
      </w:r>
    </w:p>
    <w:p w14:paraId="02318135" w14:textId="77777777" w:rsidR="00AA1F7E" w:rsidRDefault="00AA1F7E" w:rsidP="00AA1F7E">
      <w:pPr>
        <w:spacing w:line="240" w:lineRule="auto"/>
      </w:pPr>
    </w:p>
    <w:p w14:paraId="40367358" w14:textId="76BCF086" w:rsidR="00763C32" w:rsidRPr="003D255E" w:rsidRDefault="009675A8" w:rsidP="00AA1F7E">
      <w:pPr>
        <w:spacing w:line="240" w:lineRule="auto"/>
      </w:pPr>
      <w:r w:rsidRPr="003D255E">
        <w:t>WisDOT establishe</w:t>
      </w:r>
      <w:r w:rsidR="002A54FC">
        <w:t>d</w:t>
      </w:r>
      <w:r w:rsidRPr="003D255E">
        <w:t xml:space="preserve"> a t</w:t>
      </w:r>
      <w:r w:rsidR="00763C32" w:rsidRPr="003D255E">
        <w:t>raining</w:t>
      </w:r>
      <w:r w:rsidRPr="003D255E">
        <w:t xml:space="preserve"> program to facilitate the implementation and utilization of the AVL/GPS system and MDSS.  The AVL/GPS training is part of the </w:t>
      </w:r>
      <w:r w:rsidR="00763C32" w:rsidRPr="003D255E">
        <w:t xml:space="preserve">Regional Operations/County Fall Training Sessions. These sessions are held </w:t>
      </w:r>
      <w:r w:rsidR="003D255E">
        <w:t xml:space="preserve">annually </w:t>
      </w:r>
      <w:r w:rsidR="00763C32" w:rsidRPr="003D255E">
        <w:t xml:space="preserve">in all </w:t>
      </w:r>
      <w:r w:rsidRPr="003D255E">
        <w:t>WisDOT R</w:t>
      </w:r>
      <w:r w:rsidR="00763C32" w:rsidRPr="003D255E">
        <w:t>egions in preparation for the upcoming winter season.</w:t>
      </w:r>
      <w:r w:rsidRPr="003D255E">
        <w:t xml:space="preserve"> </w:t>
      </w:r>
      <w:r w:rsidR="00763C32" w:rsidRPr="003D255E">
        <w:t xml:space="preserve"> WisDOT provided support and participated in some of these training sessions.</w:t>
      </w:r>
      <w:r w:rsidRPr="003D255E">
        <w:t xml:space="preserve"> </w:t>
      </w:r>
    </w:p>
    <w:p w14:paraId="03F3CD71" w14:textId="77777777" w:rsidR="003D255E" w:rsidRPr="003D255E" w:rsidRDefault="003D255E" w:rsidP="00AA1F7E">
      <w:pPr>
        <w:spacing w:line="240" w:lineRule="auto"/>
      </w:pPr>
    </w:p>
    <w:p w14:paraId="3B1D23B2" w14:textId="193730FB" w:rsidR="00763C32" w:rsidRDefault="003D255E" w:rsidP="00AA1F7E">
      <w:pPr>
        <w:spacing w:line="240" w:lineRule="auto"/>
      </w:pPr>
      <w:r>
        <w:t>T</w:t>
      </w:r>
      <w:r w:rsidRPr="003D255E">
        <w:t xml:space="preserve">wo levels of </w:t>
      </w:r>
      <w:r w:rsidR="00763C32" w:rsidRPr="003D255E">
        <w:t xml:space="preserve">MDSS </w:t>
      </w:r>
      <w:r w:rsidRPr="003D255E">
        <w:t>t</w:t>
      </w:r>
      <w:r w:rsidR="00763C32" w:rsidRPr="003D255E">
        <w:t>raining</w:t>
      </w:r>
      <w:r>
        <w:t xml:space="preserve"> are provided by WisDOT</w:t>
      </w:r>
      <w:r w:rsidR="00763C32" w:rsidRPr="003D255E">
        <w:t xml:space="preserve">. </w:t>
      </w:r>
      <w:r w:rsidRPr="003D255E">
        <w:t>An</w:t>
      </w:r>
      <w:r w:rsidR="00763C32" w:rsidRPr="003D255E">
        <w:t xml:space="preserve"> introductory </w:t>
      </w:r>
      <w:r w:rsidRPr="003D255E">
        <w:t>training covers</w:t>
      </w:r>
      <w:r w:rsidR="00763C32" w:rsidRPr="003D255E">
        <w:t xml:space="preserve"> the basics of MDSS </w:t>
      </w:r>
      <w:r>
        <w:t xml:space="preserve">and is designed </w:t>
      </w:r>
      <w:r w:rsidR="00763C32" w:rsidRPr="003D255E">
        <w:t>for those who had never used it.</w:t>
      </w:r>
      <w:r>
        <w:t xml:space="preserve"> </w:t>
      </w:r>
      <w:r w:rsidR="00763C32" w:rsidRPr="003D255E">
        <w:t xml:space="preserve"> </w:t>
      </w:r>
      <w:r w:rsidRPr="003D255E">
        <w:t xml:space="preserve">The “main” </w:t>
      </w:r>
      <w:r w:rsidR="00763C32" w:rsidRPr="003D255E">
        <w:t>MDSS training focus</w:t>
      </w:r>
      <w:r w:rsidRPr="003D255E">
        <w:t>es</w:t>
      </w:r>
      <w:r w:rsidR="00763C32" w:rsidRPr="003D255E">
        <w:t xml:space="preserve"> on more advanced topics such as how to set up winter storm alerts and how to integrate MDSS into the decision-making process. </w:t>
      </w:r>
      <w:r>
        <w:t xml:space="preserve"> </w:t>
      </w:r>
      <w:r w:rsidR="00DF4559">
        <w:t xml:space="preserve">At various times, this training has also included training on the PreCise website.  </w:t>
      </w:r>
      <w:r>
        <w:t>Target a</w:t>
      </w:r>
      <w:r w:rsidRPr="003D255E">
        <w:t>udience of the training sessions includes</w:t>
      </w:r>
      <w:r w:rsidR="00763C32" w:rsidRPr="003D255E">
        <w:t xml:space="preserve"> county patrol superintendents, state patrol, </w:t>
      </w:r>
      <w:r w:rsidRPr="003D255E">
        <w:t>county</w:t>
      </w:r>
      <w:r w:rsidR="00763C32" w:rsidRPr="003D255E">
        <w:t xml:space="preserve"> highway commissioners, and WisDOT Region personnel.</w:t>
      </w:r>
    </w:p>
    <w:p w14:paraId="67EF2D9E" w14:textId="77777777" w:rsidR="0060057F" w:rsidRDefault="0060057F" w:rsidP="0060057F">
      <w:pPr>
        <w:pStyle w:val="Heading2"/>
      </w:pPr>
      <w:bookmarkStart w:id="50" w:name="_Toc508894709"/>
      <w:r w:rsidRPr="0060057F">
        <w:t xml:space="preserve">Procurement </w:t>
      </w:r>
      <w:r w:rsidR="00053FBD">
        <w:t>M</w:t>
      </w:r>
      <w:r w:rsidRPr="0060057F">
        <w:t xml:space="preserve">ethods and </w:t>
      </w:r>
      <w:r w:rsidR="00053FBD">
        <w:t>P</w:t>
      </w:r>
      <w:r w:rsidRPr="0060057F">
        <w:t>rocess</w:t>
      </w:r>
      <w:bookmarkEnd w:id="50"/>
    </w:p>
    <w:p w14:paraId="5DB5EAF3" w14:textId="24A55B71" w:rsidR="0060057F" w:rsidRDefault="00E043F8" w:rsidP="0060057F">
      <w:r>
        <w:t xml:space="preserve">WisDOT </w:t>
      </w:r>
      <w:r w:rsidR="002A3A84">
        <w:t>secured</w:t>
      </w:r>
      <w:r>
        <w:t xml:space="preserve"> a federal earmark </w:t>
      </w:r>
      <w:r w:rsidR="002A3A84">
        <w:t xml:space="preserve">grant </w:t>
      </w:r>
      <w:r>
        <w:t xml:space="preserve">under SAFETEA-LU to procure </w:t>
      </w:r>
      <w:r w:rsidR="002A3A84">
        <w:t xml:space="preserve">the AVL/GPS system.  </w:t>
      </w:r>
      <w:r w:rsidR="000D0AC9">
        <w:t xml:space="preserve">As noted earlier, </w:t>
      </w:r>
      <w:r w:rsidR="000D0AC9" w:rsidRPr="000D0AC9">
        <w:t xml:space="preserve">WisDOT </w:t>
      </w:r>
      <w:r w:rsidR="000D0AC9">
        <w:t xml:space="preserve">does not own any snow plows and </w:t>
      </w:r>
      <w:r w:rsidR="000D0AC9" w:rsidRPr="000D0AC9">
        <w:t xml:space="preserve">allows each </w:t>
      </w:r>
      <w:r w:rsidR="000D0AC9">
        <w:t>c</w:t>
      </w:r>
      <w:r w:rsidR="000D0AC9" w:rsidRPr="000D0AC9">
        <w:t>ount</w:t>
      </w:r>
      <w:r w:rsidR="000D0AC9">
        <w:t>y</w:t>
      </w:r>
      <w:r w:rsidR="000D0AC9" w:rsidRPr="000D0AC9">
        <w:t xml:space="preserve"> to procure </w:t>
      </w:r>
      <w:r w:rsidR="00726112">
        <w:t>its</w:t>
      </w:r>
      <w:r w:rsidR="000D0AC9" w:rsidRPr="000D0AC9">
        <w:t xml:space="preserve"> own snow plows and equipment that are used for winter maintenance operations on Interstates and state highways.  </w:t>
      </w:r>
      <w:r w:rsidR="002A3A84">
        <w:lastRenderedPageBreak/>
        <w:t xml:space="preserve">WisDOT provided </w:t>
      </w:r>
      <w:r>
        <w:t>fund</w:t>
      </w:r>
      <w:r w:rsidR="002A3A84">
        <w:t>ing</w:t>
      </w:r>
      <w:r>
        <w:t xml:space="preserve"> </w:t>
      </w:r>
      <w:r w:rsidR="002A3A84">
        <w:t xml:space="preserve">to </w:t>
      </w:r>
      <w:r w:rsidR="00DF4559">
        <w:t>the c</w:t>
      </w:r>
      <w:r w:rsidR="002A3A84">
        <w:t>ounties</w:t>
      </w:r>
      <w:r w:rsidR="000D0AC9">
        <w:t xml:space="preserve">, </w:t>
      </w:r>
      <w:r w:rsidR="002A3A84">
        <w:t xml:space="preserve">and </w:t>
      </w:r>
      <w:r w:rsidR="00DF4559">
        <w:t>the c</w:t>
      </w:r>
      <w:r w:rsidR="000D0AC9">
        <w:t>ounties could choose any vendors</w:t>
      </w:r>
      <w:r>
        <w:t xml:space="preserve"> for the procurement of the </w:t>
      </w:r>
      <w:r w:rsidR="00D129EC">
        <w:t>AVL/GPS</w:t>
      </w:r>
      <w:r>
        <w:t xml:space="preserve"> system.</w:t>
      </w:r>
    </w:p>
    <w:p w14:paraId="27036357" w14:textId="77777777" w:rsidR="00A65F01" w:rsidRDefault="00A65F01" w:rsidP="0060057F"/>
    <w:p w14:paraId="4806CC22" w14:textId="76B1CA53" w:rsidR="00A10E40" w:rsidRDefault="00DF4559" w:rsidP="00D940C7">
      <w:pPr>
        <w:spacing w:line="240" w:lineRule="auto"/>
      </w:pPr>
      <w:r>
        <w:t>T</w:t>
      </w:r>
      <w:r w:rsidR="00D940C7" w:rsidRPr="005139DA">
        <w:t>he county highway departments began purchasing AVL/GPS equipment from PreCise in 2009</w:t>
      </w:r>
      <w:r w:rsidR="005139DA">
        <w:t>,</w:t>
      </w:r>
      <w:r w:rsidR="00D940C7" w:rsidRPr="005139DA">
        <w:t xml:space="preserve"> us</w:t>
      </w:r>
      <w:r w:rsidR="005139DA">
        <w:t>ing</w:t>
      </w:r>
      <w:r w:rsidR="00D940C7" w:rsidRPr="005139DA">
        <w:t xml:space="preserve"> the Dane County procurement for statewide procurement.  </w:t>
      </w:r>
      <w:r w:rsidR="005139DA">
        <w:t xml:space="preserve">Due to the sunset of 2G technology, WisDOT issued an RFP in 2016 to procure </w:t>
      </w:r>
      <w:r w:rsidR="00652711">
        <w:t>new AVL/GPS equipment that used 3G communications technology at a minimum.  The RFP also included replacement sensors that would feed data to the AVL/GPS equipment.  Those included sensors for air/pavement temperature, auger/gate, flow meter, and plow blade position.</w:t>
      </w:r>
      <w:r w:rsidR="00A10E40">
        <w:t xml:space="preserve">  Vendors were asked to include pricing information on each of the following items:</w:t>
      </w:r>
    </w:p>
    <w:p w14:paraId="61013943" w14:textId="77777777" w:rsidR="00364131" w:rsidRDefault="00364131" w:rsidP="00D940C7">
      <w:pPr>
        <w:spacing w:line="240" w:lineRule="auto"/>
      </w:pPr>
    </w:p>
    <w:p w14:paraId="06FEB91A" w14:textId="77777777" w:rsidR="00A10E40" w:rsidRDefault="00A10E40" w:rsidP="00A10E40">
      <w:pPr>
        <w:pStyle w:val="ListBullet"/>
      </w:pPr>
      <w:r>
        <w:t>Specific equipment, software for:</w:t>
      </w:r>
    </w:p>
    <w:p w14:paraId="750FD449" w14:textId="77777777" w:rsidR="00A10E40" w:rsidRDefault="00A10E40" w:rsidP="00A10E40">
      <w:pPr>
        <w:pStyle w:val="ListBullet2"/>
      </w:pPr>
      <w:r>
        <w:t>AVL/GPS equipment for snow plows</w:t>
      </w:r>
    </w:p>
    <w:p w14:paraId="7B4FFD69" w14:textId="77777777" w:rsidR="00A10E40" w:rsidRDefault="00A10E40" w:rsidP="00A10E40">
      <w:pPr>
        <w:pStyle w:val="ListBullet2"/>
      </w:pPr>
      <w:r>
        <w:t>AVL/GPS equipment for non-plow vehicles</w:t>
      </w:r>
    </w:p>
    <w:p w14:paraId="46B99FF4" w14:textId="77777777" w:rsidR="00A10E40" w:rsidRDefault="00A10E40" w:rsidP="00A10E40">
      <w:pPr>
        <w:pStyle w:val="ListBullet2"/>
      </w:pPr>
      <w:r>
        <w:t>Plow position sensor</w:t>
      </w:r>
    </w:p>
    <w:p w14:paraId="5A3A2264" w14:textId="77777777" w:rsidR="00A10E40" w:rsidRDefault="00A10E40" w:rsidP="00A10E40">
      <w:pPr>
        <w:pStyle w:val="ListBullet2"/>
      </w:pPr>
      <w:r>
        <w:t>Auger sensor</w:t>
      </w:r>
    </w:p>
    <w:p w14:paraId="03462C80" w14:textId="77777777" w:rsidR="00A10E40" w:rsidRDefault="00A10E40" w:rsidP="00A10E40">
      <w:pPr>
        <w:pStyle w:val="ListBullet2"/>
      </w:pPr>
      <w:r>
        <w:t>Air/pavement temperature sensor</w:t>
      </w:r>
    </w:p>
    <w:p w14:paraId="3625D9A1" w14:textId="77777777" w:rsidR="00A10E40" w:rsidRDefault="00A10E40" w:rsidP="00A10E40">
      <w:pPr>
        <w:pStyle w:val="ListBullet"/>
      </w:pPr>
      <w:r>
        <w:t>Maintenance of equipment, software</w:t>
      </w:r>
    </w:p>
    <w:p w14:paraId="651AD8FE" w14:textId="77777777" w:rsidR="00A10E40" w:rsidRDefault="00A10E40" w:rsidP="00A10E40">
      <w:pPr>
        <w:pStyle w:val="ListBullet"/>
      </w:pPr>
      <w:r>
        <w:t>Website license/maintenance (per year)</w:t>
      </w:r>
    </w:p>
    <w:p w14:paraId="52038182" w14:textId="77777777" w:rsidR="00D940C7" w:rsidRDefault="00A10E40" w:rsidP="00A10E40">
      <w:pPr>
        <w:pStyle w:val="ListBullet"/>
      </w:pPr>
      <w:r>
        <w:t xml:space="preserve">Communications fees (per month) </w:t>
      </w:r>
    </w:p>
    <w:p w14:paraId="6B8C2E04" w14:textId="77777777" w:rsidR="00B440D5" w:rsidRDefault="00652711" w:rsidP="00652711">
      <w:pPr>
        <w:spacing w:line="240" w:lineRule="auto"/>
      </w:pPr>
      <w:r>
        <w:t>Vendors’ proposals were evaluated by a committee that consisted of members who had special expertise and knowledge in winter maintenance and AVL/GPS equipment.  Proposals were scored using the following criteria:</w:t>
      </w:r>
    </w:p>
    <w:p w14:paraId="7BCE4ED4" w14:textId="77777777" w:rsidR="00652711" w:rsidRDefault="00652711" w:rsidP="00652711">
      <w:pPr>
        <w:spacing w:line="240" w:lineRule="auto"/>
      </w:pPr>
    </w:p>
    <w:p w14:paraId="34B31320" w14:textId="77777777" w:rsidR="00652711" w:rsidRDefault="00652711" w:rsidP="00652711">
      <w:pPr>
        <w:pStyle w:val="ListBullet"/>
      </w:pPr>
      <w:r>
        <w:t>Technical: 70% including</w:t>
      </w:r>
    </w:p>
    <w:p w14:paraId="54F1930F" w14:textId="77777777" w:rsidR="00652711" w:rsidRDefault="00652711" w:rsidP="00652711">
      <w:pPr>
        <w:pStyle w:val="ListBullet2"/>
      </w:pPr>
      <w:r>
        <w:t>Organization capabilities: 5%</w:t>
      </w:r>
    </w:p>
    <w:p w14:paraId="52A37785" w14:textId="77777777" w:rsidR="00652711" w:rsidRDefault="00652711" w:rsidP="00652711">
      <w:pPr>
        <w:pStyle w:val="ListBullet2"/>
      </w:pPr>
      <w:r>
        <w:t>Staff qualifications: 5%</w:t>
      </w:r>
    </w:p>
    <w:p w14:paraId="642D17AF" w14:textId="77777777" w:rsidR="00652711" w:rsidRDefault="00652711" w:rsidP="00652711">
      <w:pPr>
        <w:pStyle w:val="ListBullet2"/>
      </w:pPr>
      <w:r>
        <w:t>Proposer Solutions: 60%</w:t>
      </w:r>
    </w:p>
    <w:p w14:paraId="30F283C5" w14:textId="77777777" w:rsidR="00652711" w:rsidRDefault="00652711" w:rsidP="00652711">
      <w:pPr>
        <w:pStyle w:val="ListBullet"/>
      </w:pPr>
      <w:r>
        <w:t>Cost: 30%</w:t>
      </w:r>
    </w:p>
    <w:p w14:paraId="62B5E552" w14:textId="632D84C1" w:rsidR="00540288" w:rsidRDefault="00540288" w:rsidP="00540288">
      <w:pPr>
        <w:pStyle w:val="ListBullet"/>
        <w:numPr>
          <w:ilvl w:val="0"/>
          <w:numId w:val="0"/>
        </w:numPr>
      </w:pPr>
      <w:r>
        <w:t xml:space="preserve">Pricing resulting from the solicitation was used by county highway departments to purchase all AVL/GPS equipment and associated sensors.  </w:t>
      </w:r>
      <w:r w:rsidR="00134E0E">
        <w:t xml:space="preserve">A few counties also used WisDOT’s pricing lists to procure AVL/GPS and other equipment for snow plows maintaining county highways.  </w:t>
      </w:r>
      <w:r>
        <w:t xml:space="preserve">As mentioned, </w:t>
      </w:r>
      <w:r w:rsidR="00134E0E">
        <w:t>c</w:t>
      </w:r>
      <w:r>
        <w:t xml:space="preserve">ounties still had the flexibility to procure an AVL/GPS system either using the pricing lists from this procurement contract or procuring a system using </w:t>
      </w:r>
      <w:r w:rsidR="00DF4559">
        <w:t>the c</w:t>
      </w:r>
      <w:r>
        <w:t>ount</w:t>
      </w:r>
      <w:r w:rsidR="00DF4559">
        <w:t>y’s</w:t>
      </w:r>
      <w:r>
        <w:t xml:space="preserve"> own solicitation.</w:t>
      </w:r>
    </w:p>
    <w:p w14:paraId="772B62F0" w14:textId="44A5278A" w:rsidR="00540288" w:rsidRDefault="00540288" w:rsidP="00540288">
      <w:pPr>
        <w:pStyle w:val="ListBullet"/>
        <w:numPr>
          <w:ilvl w:val="0"/>
          <w:numId w:val="0"/>
        </w:numPr>
      </w:pPr>
      <w:r>
        <w:t xml:space="preserve">WisDOT’s current contract was for three years with two additional one-year </w:t>
      </w:r>
      <w:r w:rsidR="00DF4559">
        <w:t xml:space="preserve">renewal </w:t>
      </w:r>
      <w:r>
        <w:t>options.</w:t>
      </w:r>
    </w:p>
    <w:p w14:paraId="567F7D75" w14:textId="77777777" w:rsidR="003D255E" w:rsidRDefault="003D255E" w:rsidP="003D255E">
      <w:pPr>
        <w:pStyle w:val="Heading2"/>
      </w:pPr>
      <w:bookmarkStart w:id="51" w:name="_Toc508894710"/>
      <w:r w:rsidRPr="0060057F">
        <w:t xml:space="preserve">Procurement </w:t>
      </w:r>
      <w:r>
        <w:t>Documents</w:t>
      </w:r>
      <w:bookmarkEnd w:id="51"/>
    </w:p>
    <w:p w14:paraId="73FCDD79" w14:textId="77777777" w:rsidR="003D255E" w:rsidRDefault="008145F5" w:rsidP="0060057F">
      <w:r>
        <w:t>WisDOT’s</w:t>
      </w:r>
      <w:r w:rsidR="009D2990">
        <w:t xml:space="preserve"> RFP issued in 2016 contained</w:t>
      </w:r>
      <w:r>
        <w:t xml:space="preserve"> a brief history and background of the Wisconsin AVL/GPS program, purpose and scope of the services, proposal selection process, technical requirements and contract requirements.  Appendix B includes </w:t>
      </w:r>
      <w:r w:rsidR="008A059A">
        <w:t xml:space="preserve">excerpts from </w:t>
      </w:r>
      <w:r>
        <w:t>Sections 4, 5 and 6 of the RFP that detail the following information:</w:t>
      </w:r>
    </w:p>
    <w:p w14:paraId="46C96158" w14:textId="77777777" w:rsidR="008145F5" w:rsidRDefault="008145F5" w:rsidP="0060057F"/>
    <w:p w14:paraId="36A84682" w14:textId="77777777" w:rsidR="008145F5" w:rsidRDefault="008145F5" w:rsidP="008145F5">
      <w:pPr>
        <w:pStyle w:val="ListBullet"/>
      </w:pPr>
      <w:r>
        <w:t>Proposer Information and Solutions, including mandatory requirements for software, equipment, contractor responsibility; contractor capabilities and qualifications; and contractor’s proposed solutions.</w:t>
      </w:r>
    </w:p>
    <w:p w14:paraId="70A5C563" w14:textId="77777777" w:rsidR="008145F5" w:rsidRDefault="008145F5" w:rsidP="008145F5">
      <w:pPr>
        <w:pStyle w:val="ListBullet"/>
      </w:pPr>
      <w:r>
        <w:t>Contract Requirements, including equipment delivery, insurance, and services to be performed</w:t>
      </w:r>
      <w:r w:rsidR="008A059A">
        <w:t>.</w:t>
      </w:r>
    </w:p>
    <w:p w14:paraId="229250D7" w14:textId="77777777" w:rsidR="008A059A" w:rsidRDefault="008A059A" w:rsidP="008145F5">
      <w:pPr>
        <w:pStyle w:val="ListBullet"/>
      </w:pPr>
      <w:r>
        <w:lastRenderedPageBreak/>
        <w:t>Cost Proposal, including proposal format, submittal and scoring method, fixed price period, and inflationary adjustment.</w:t>
      </w:r>
    </w:p>
    <w:p w14:paraId="623414E8" w14:textId="77777777" w:rsidR="003D255E" w:rsidRDefault="003D255E" w:rsidP="0060057F"/>
    <w:p w14:paraId="0312E918" w14:textId="77777777" w:rsidR="008A059A" w:rsidRDefault="008A059A" w:rsidP="0060057F"/>
    <w:p w14:paraId="104E720D" w14:textId="77777777" w:rsidR="0060057F" w:rsidRDefault="0060057F" w:rsidP="0060057F">
      <w:pPr>
        <w:pStyle w:val="Heading1"/>
      </w:pPr>
      <w:bookmarkStart w:id="52" w:name="_Toc508894711"/>
      <w:r>
        <w:t>System Benefits and Costs</w:t>
      </w:r>
      <w:bookmarkEnd w:id="52"/>
    </w:p>
    <w:p w14:paraId="2C7A180F" w14:textId="77777777" w:rsidR="0060057F" w:rsidRDefault="0060057F" w:rsidP="0060057F">
      <w:pPr>
        <w:pStyle w:val="Heading2"/>
      </w:pPr>
      <w:bookmarkStart w:id="53" w:name="_Toc508894712"/>
      <w:r w:rsidRPr="0060057F">
        <w:t xml:space="preserve">Implementation </w:t>
      </w:r>
      <w:r>
        <w:t>Costs</w:t>
      </w:r>
      <w:bookmarkEnd w:id="53"/>
    </w:p>
    <w:p w14:paraId="62F9BCA5" w14:textId="77777777" w:rsidR="0060057F" w:rsidRDefault="00686351" w:rsidP="0060057F">
      <w:pPr>
        <w:tabs>
          <w:tab w:val="clear" w:pos="284"/>
        </w:tabs>
        <w:spacing w:line="240" w:lineRule="auto"/>
      </w:pPr>
      <w:r>
        <w:t xml:space="preserve">WisDOT provided cost information </w:t>
      </w:r>
      <w:r w:rsidR="0060058F">
        <w:t>related to the initial implementation in 2010 for Sauk County vehicles as an example shown in Table 2.  All costs in Table 2 include equipment and installation.</w:t>
      </w:r>
    </w:p>
    <w:p w14:paraId="21C6E930" w14:textId="77777777" w:rsidR="0060058F" w:rsidRDefault="0060058F" w:rsidP="0060057F">
      <w:pPr>
        <w:tabs>
          <w:tab w:val="clear" w:pos="284"/>
        </w:tabs>
        <w:spacing w:line="240" w:lineRule="auto"/>
      </w:pPr>
    </w:p>
    <w:p w14:paraId="66EC8D22" w14:textId="5040DC17" w:rsidR="0060058F" w:rsidRDefault="0060058F" w:rsidP="0060058F">
      <w:pPr>
        <w:pStyle w:val="Caption"/>
      </w:pPr>
      <w:bookmarkStart w:id="54" w:name="_Toc508894735"/>
      <w:r>
        <w:t xml:space="preserve">Table </w:t>
      </w:r>
      <w:r>
        <w:fldChar w:fldCharType="begin"/>
      </w:r>
      <w:r>
        <w:instrText xml:space="preserve"> SEQ Table \* ARABIC </w:instrText>
      </w:r>
      <w:r>
        <w:fldChar w:fldCharType="separate"/>
      </w:r>
      <w:r w:rsidR="00E16E42">
        <w:rPr>
          <w:noProof/>
        </w:rPr>
        <w:t>2</w:t>
      </w:r>
      <w:r>
        <w:fldChar w:fldCharType="end"/>
      </w:r>
      <w:r w:rsidR="0038025A">
        <w:t>.</w:t>
      </w:r>
      <w:r>
        <w:t xml:space="preserve"> Sauk County AVL/GPS System Implementation Costs in 2010</w:t>
      </w:r>
      <w:bookmarkEnd w:id="54"/>
    </w:p>
    <w:tbl>
      <w:tblPr>
        <w:tblStyle w:val="AECOMtable"/>
        <w:tblW w:w="0" w:type="auto"/>
        <w:tblLook w:val="04A0" w:firstRow="1" w:lastRow="0" w:firstColumn="1" w:lastColumn="0" w:noHBand="0" w:noVBand="1"/>
      </w:tblPr>
      <w:tblGrid>
        <w:gridCol w:w="3600"/>
        <w:gridCol w:w="1080"/>
        <w:gridCol w:w="2340"/>
        <w:gridCol w:w="2340"/>
      </w:tblGrid>
      <w:tr w:rsidR="0060058F" w14:paraId="2BD8B79E" w14:textId="77777777" w:rsidTr="001F191E">
        <w:trPr>
          <w:cnfStyle w:val="100000000000" w:firstRow="1" w:lastRow="0" w:firstColumn="0" w:lastColumn="0" w:oddVBand="0" w:evenVBand="0" w:oddHBand="0" w:evenHBand="0" w:firstRowFirstColumn="0" w:firstRowLastColumn="0" w:lastRowFirstColumn="0" w:lastRowLastColumn="0"/>
        </w:trPr>
        <w:tc>
          <w:tcPr>
            <w:tcW w:w="3600" w:type="dxa"/>
          </w:tcPr>
          <w:p w14:paraId="1BEF421F" w14:textId="77777777" w:rsidR="0060058F" w:rsidRDefault="0060058F" w:rsidP="0060058F">
            <w:pPr>
              <w:spacing w:before="240"/>
            </w:pPr>
            <w:bookmarkStart w:id="55" w:name="_Hlk507052812"/>
            <w:r>
              <w:t>Items</w:t>
            </w:r>
          </w:p>
        </w:tc>
        <w:tc>
          <w:tcPr>
            <w:tcW w:w="1080" w:type="dxa"/>
          </w:tcPr>
          <w:p w14:paraId="44C860E6" w14:textId="77777777" w:rsidR="0060058F" w:rsidRDefault="0060058F" w:rsidP="0060058F">
            <w:pPr>
              <w:spacing w:before="240"/>
              <w:jc w:val="center"/>
            </w:pPr>
            <w:r>
              <w:t>Quantity</w:t>
            </w:r>
          </w:p>
        </w:tc>
        <w:tc>
          <w:tcPr>
            <w:tcW w:w="2340" w:type="dxa"/>
          </w:tcPr>
          <w:p w14:paraId="563A35E3" w14:textId="77777777" w:rsidR="0060058F" w:rsidRDefault="0060058F" w:rsidP="0060058F">
            <w:pPr>
              <w:spacing w:before="240"/>
              <w:jc w:val="center"/>
            </w:pPr>
            <w:r>
              <w:t>Unit Cost</w:t>
            </w:r>
          </w:p>
        </w:tc>
        <w:tc>
          <w:tcPr>
            <w:tcW w:w="2340" w:type="dxa"/>
          </w:tcPr>
          <w:p w14:paraId="1232399B" w14:textId="77777777" w:rsidR="0060058F" w:rsidRDefault="0060058F" w:rsidP="0060058F">
            <w:pPr>
              <w:spacing w:before="240"/>
              <w:jc w:val="center"/>
            </w:pPr>
            <w:r>
              <w:t>Total Cost</w:t>
            </w:r>
          </w:p>
        </w:tc>
      </w:tr>
      <w:bookmarkEnd w:id="55"/>
      <w:tr w:rsidR="0060058F" w:rsidRPr="0060058F" w14:paraId="5920ED13" w14:textId="77777777" w:rsidTr="001F191E">
        <w:tc>
          <w:tcPr>
            <w:tcW w:w="3600" w:type="dxa"/>
          </w:tcPr>
          <w:p w14:paraId="3408E6BD" w14:textId="77777777" w:rsidR="0060058F" w:rsidRPr="0060058F" w:rsidRDefault="0060058F" w:rsidP="001F191E">
            <w:r>
              <w:t>AVL/GPS Equipment</w:t>
            </w:r>
          </w:p>
        </w:tc>
        <w:tc>
          <w:tcPr>
            <w:tcW w:w="1080" w:type="dxa"/>
          </w:tcPr>
          <w:p w14:paraId="5488BF4B" w14:textId="77777777" w:rsidR="0060058F" w:rsidRPr="0060058F" w:rsidRDefault="0060058F" w:rsidP="001F191E">
            <w:pPr>
              <w:jc w:val="center"/>
            </w:pPr>
            <w:r>
              <w:t>18</w:t>
            </w:r>
          </w:p>
        </w:tc>
        <w:tc>
          <w:tcPr>
            <w:tcW w:w="2340" w:type="dxa"/>
          </w:tcPr>
          <w:p w14:paraId="1D1F89E6" w14:textId="77777777" w:rsidR="0060058F" w:rsidRPr="0060058F" w:rsidRDefault="0060058F" w:rsidP="001F191E">
            <w:pPr>
              <w:jc w:val="center"/>
            </w:pPr>
            <w:r>
              <w:t>$849</w:t>
            </w:r>
          </w:p>
        </w:tc>
        <w:tc>
          <w:tcPr>
            <w:tcW w:w="2340" w:type="dxa"/>
          </w:tcPr>
          <w:p w14:paraId="5DF9F460" w14:textId="77777777" w:rsidR="0060058F" w:rsidRPr="0060058F" w:rsidRDefault="0060058F" w:rsidP="001F191E">
            <w:pPr>
              <w:jc w:val="center"/>
            </w:pPr>
            <w:r>
              <w:t>$15,282</w:t>
            </w:r>
          </w:p>
        </w:tc>
      </w:tr>
      <w:tr w:rsidR="0060058F" w:rsidRPr="0060058F" w14:paraId="631D81FC" w14:textId="77777777" w:rsidTr="001F191E">
        <w:tc>
          <w:tcPr>
            <w:tcW w:w="3600" w:type="dxa"/>
          </w:tcPr>
          <w:p w14:paraId="5F33E8D0" w14:textId="77777777" w:rsidR="0060058F" w:rsidRPr="0060058F" w:rsidRDefault="0060058F" w:rsidP="001F191E">
            <w:r>
              <w:t>Plow Sensor</w:t>
            </w:r>
          </w:p>
        </w:tc>
        <w:tc>
          <w:tcPr>
            <w:tcW w:w="1080" w:type="dxa"/>
          </w:tcPr>
          <w:p w14:paraId="65775784" w14:textId="77777777" w:rsidR="0060058F" w:rsidRPr="0060058F" w:rsidRDefault="0060058F" w:rsidP="001F191E">
            <w:pPr>
              <w:jc w:val="center"/>
            </w:pPr>
            <w:r>
              <w:t>18</w:t>
            </w:r>
          </w:p>
        </w:tc>
        <w:tc>
          <w:tcPr>
            <w:tcW w:w="2340" w:type="dxa"/>
          </w:tcPr>
          <w:p w14:paraId="2E6548A2" w14:textId="77777777" w:rsidR="0060058F" w:rsidRPr="0060058F" w:rsidRDefault="0060058F" w:rsidP="001F191E">
            <w:pPr>
              <w:jc w:val="center"/>
            </w:pPr>
            <w:r>
              <w:t>$180</w:t>
            </w:r>
          </w:p>
        </w:tc>
        <w:tc>
          <w:tcPr>
            <w:tcW w:w="2340" w:type="dxa"/>
          </w:tcPr>
          <w:p w14:paraId="7EA034FB" w14:textId="77777777" w:rsidR="0060058F" w:rsidRPr="0060058F" w:rsidRDefault="0060058F" w:rsidP="001F191E">
            <w:pPr>
              <w:jc w:val="center"/>
            </w:pPr>
            <w:r>
              <w:t>$3,240</w:t>
            </w:r>
          </w:p>
        </w:tc>
      </w:tr>
      <w:tr w:rsidR="0060058F" w:rsidRPr="0060058F" w14:paraId="055B3410" w14:textId="77777777" w:rsidTr="001F191E">
        <w:tc>
          <w:tcPr>
            <w:tcW w:w="3600" w:type="dxa"/>
          </w:tcPr>
          <w:p w14:paraId="7E1083AC" w14:textId="77777777" w:rsidR="0060058F" w:rsidRPr="0060058F" w:rsidRDefault="0060058F" w:rsidP="001F191E">
            <w:r>
              <w:t>Pavement Temperature Sensor</w:t>
            </w:r>
          </w:p>
        </w:tc>
        <w:tc>
          <w:tcPr>
            <w:tcW w:w="1080" w:type="dxa"/>
          </w:tcPr>
          <w:p w14:paraId="5A986999" w14:textId="77777777" w:rsidR="0060058F" w:rsidRPr="0060058F" w:rsidRDefault="0060058F" w:rsidP="001F191E">
            <w:pPr>
              <w:jc w:val="center"/>
            </w:pPr>
            <w:r>
              <w:t>18</w:t>
            </w:r>
          </w:p>
        </w:tc>
        <w:tc>
          <w:tcPr>
            <w:tcW w:w="2340" w:type="dxa"/>
          </w:tcPr>
          <w:p w14:paraId="24180633" w14:textId="77777777" w:rsidR="0060058F" w:rsidRPr="0060058F" w:rsidRDefault="0060058F" w:rsidP="001F191E">
            <w:pPr>
              <w:jc w:val="center"/>
            </w:pPr>
            <w:r>
              <w:t>$1000</w:t>
            </w:r>
          </w:p>
        </w:tc>
        <w:tc>
          <w:tcPr>
            <w:tcW w:w="2340" w:type="dxa"/>
          </w:tcPr>
          <w:p w14:paraId="48B2906B" w14:textId="77777777" w:rsidR="0060058F" w:rsidRPr="0060058F" w:rsidRDefault="0060058F" w:rsidP="001F191E">
            <w:pPr>
              <w:jc w:val="center"/>
            </w:pPr>
            <w:r>
              <w:t>$18,000</w:t>
            </w:r>
          </w:p>
        </w:tc>
      </w:tr>
      <w:tr w:rsidR="0060058F" w:rsidRPr="0060058F" w14:paraId="10EC43D1" w14:textId="77777777" w:rsidTr="001F191E">
        <w:tc>
          <w:tcPr>
            <w:tcW w:w="3600" w:type="dxa"/>
          </w:tcPr>
          <w:p w14:paraId="16E8FF77" w14:textId="77777777" w:rsidR="0060058F" w:rsidRPr="0060058F" w:rsidRDefault="0060058F" w:rsidP="001F191E">
            <w:r>
              <w:t>Gate Sensor</w:t>
            </w:r>
          </w:p>
        </w:tc>
        <w:tc>
          <w:tcPr>
            <w:tcW w:w="1080" w:type="dxa"/>
          </w:tcPr>
          <w:p w14:paraId="039D2DCF" w14:textId="77777777" w:rsidR="0060058F" w:rsidRPr="0060058F" w:rsidRDefault="0060058F" w:rsidP="001F191E">
            <w:pPr>
              <w:jc w:val="center"/>
            </w:pPr>
            <w:r>
              <w:t>4</w:t>
            </w:r>
          </w:p>
        </w:tc>
        <w:tc>
          <w:tcPr>
            <w:tcW w:w="2340" w:type="dxa"/>
          </w:tcPr>
          <w:p w14:paraId="3FF30CCE" w14:textId="77777777" w:rsidR="0060058F" w:rsidRPr="0060058F" w:rsidRDefault="0060058F" w:rsidP="001F191E">
            <w:pPr>
              <w:jc w:val="center"/>
            </w:pPr>
            <w:r>
              <w:t>$700</w:t>
            </w:r>
          </w:p>
        </w:tc>
        <w:tc>
          <w:tcPr>
            <w:tcW w:w="2340" w:type="dxa"/>
          </w:tcPr>
          <w:p w14:paraId="6A3F13EC" w14:textId="77777777" w:rsidR="0060058F" w:rsidRPr="0060058F" w:rsidRDefault="0060058F" w:rsidP="001F191E">
            <w:pPr>
              <w:jc w:val="center"/>
            </w:pPr>
            <w:r>
              <w:t>$2,800</w:t>
            </w:r>
          </w:p>
        </w:tc>
      </w:tr>
      <w:tr w:rsidR="0060058F" w:rsidRPr="0060058F" w14:paraId="17DA1B99" w14:textId="77777777" w:rsidTr="001F191E">
        <w:tc>
          <w:tcPr>
            <w:tcW w:w="3600" w:type="dxa"/>
          </w:tcPr>
          <w:p w14:paraId="52F25ECC" w14:textId="77777777" w:rsidR="0060058F" w:rsidRPr="0060058F" w:rsidRDefault="0060058F" w:rsidP="001F191E">
            <w:r>
              <w:t>Controller Upgrade</w:t>
            </w:r>
          </w:p>
        </w:tc>
        <w:tc>
          <w:tcPr>
            <w:tcW w:w="1080" w:type="dxa"/>
          </w:tcPr>
          <w:p w14:paraId="372BA8F4" w14:textId="77777777" w:rsidR="0060058F" w:rsidRPr="0060058F" w:rsidRDefault="0060058F" w:rsidP="001F191E">
            <w:pPr>
              <w:jc w:val="center"/>
            </w:pPr>
            <w:r>
              <w:t>13</w:t>
            </w:r>
          </w:p>
        </w:tc>
        <w:tc>
          <w:tcPr>
            <w:tcW w:w="2340" w:type="dxa"/>
          </w:tcPr>
          <w:p w14:paraId="20FD6140" w14:textId="77777777" w:rsidR="0060058F" w:rsidRPr="0060058F" w:rsidRDefault="0060058F" w:rsidP="001F191E">
            <w:pPr>
              <w:jc w:val="center"/>
            </w:pPr>
            <w:r>
              <w:t>$2730</w:t>
            </w:r>
          </w:p>
        </w:tc>
        <w:tc>
          <w:tcPr>
            <w:tcW w:w="2340" w:type="dxa"/>
          </w:tcPr>
          <w:p w14:paraId="3388881A" w14:textId="77777777" w:rsidR="0060058F" w:rsidRPr="0060058F" w:rsidRDefault="0060058F" w:rsidP="001F191E">
            <w:pPr>
              <w:jc w:val="center"/>
            </w:pPr>
            <w:r>
              <w:t>$35,490</w:t>
            </w:r>
          </w:p>
        </w:tc>
      </w:tr>
      <w:tr w:rsidR="0060058F" w:rsidRPr="0060058F" w14:paraId="45792A2F" w14:textId="77777777" w:rsidTr="001F191E">
        <w:tc>
          <w:tcPr>
            <w:tcW w:w="3600" w:type="dxa"/>
          </w:tcPr>
          <w:p w14:paraId="2561815E" w14:textId="77777777" w:rsidR="0060058F" w:rsidRPr="0060058F" w:rsidRDefault="0060058F" w:rsidP="001F191E">
            <w:r>
              <w:t>Auger Sensor</w:t>
            </w:r>
          </w:p>
        </w:tc>
        <w:tc>
          <w:tcPr>
            <w:tcW w:w="1080" w:type="dxa"/>
          </w:tcPr>
          <w:p w14:paraId="28ACC340" w14:textId="77777777" w:rsidR="0060058F" w:rsidRPr="0060058F" w:rsidRDefault="0060058F" w:rsidP="001F191E">
            <w:pPr>
              <w:jc w:val="center"/>
            </w:pPr>
            <w:r>
              <w:t>18</w:t>
            </w:r>
          </w:p>
        </w:tc>
        <w:tc>
          <w:tcPr>
            <w:tcW w:w="2340" w:type="dxa"/>
          </w:tcPr>
          <w:p w14:paraId="06CB2866" w14:textId="77777777" w:rsidR="0060058F" w:rsidRPr="0060058F" w:rsidRDefault="0060058F" w:rsidP="001F191E">
            <w:pPr>
              <w:jc w:val="center"/>
            </w:pPr>
            <w:r>
              <w:t>$1000</w:t>
            </w:r>
          </w:p>
        </w:tc>
        <w:tc>
          <w:tcPr>
            <w:tcW w:w="2340" w:type="dxa"/>
          </w:tcPr>
          <w:p w14:paraId="3AD982BC" w14:textId="77777777" w:rsidR="0060058F" w:rsidRPr="0060058F" w:rsidRDefault="0060058F" w:rsidP="001F191E">
            <w:pPr>
              <w:jc w:val="center"/>
            </w:pPr>
            <w:r>
              <w:t>$18,000</w:t>
            </w:r>
          </w:p>
        </w:tc>
      </w:tr>
      <w:tr w:rsidR="0060058F" w:rsidRPr="0060058F" w14:paraId="577575D2" w14:textId="77777777" w:rsidTr="001F191E">
        <w:tc>
          <w:tcPr>
            <w:tcW w:w="3600" w:type="dxa"/>
          </w:tcPr>
          <w:p w14:paraId="54541647" w14:textId="77777777" w:rsidR="0060058F" w:rsidRPr="0060058F" w:rsidRDefault="0060058F" w:rsidP="001F191E">
            <w:r>
              <w:t>Wi Fi Antennas</w:t>
            </w:r>
          </w:p>
        </w:tc>
        <w:tc>
          <w:tcPr>
            <w:tcW w:w="1080" w:type="dxa"/>
          </w:tcPr>
          <w:p w14:paraId="38E78D64" w14:textId="77777777" w:rsidR="0060058F" w:rsidRPr="0060058F" w:rsidRDefault="0060058F" w:rsidP="001F191E">
            <w:pPr>
              <w:jc w:val="center"/>
            </w:pPr>
            <w:r>
              <w:t>4</w:t>
            </w:r>
          </w:p>
        </w:tc>
        <w:tc>
          <w:tcPr>
            <w:tcW w:w="2340" w:type="dxa"/>
          </w:tcPr>
          <w:p w14:paraId="262808E0" w14:textId="77777777" w:rsidR="0060058F" w:rsidRPr="0060058F" w:rsidRDefault="0060058F" w:rsidP="001F191E">
            <w:pPr>
              <w:jc w:val="center"/>
            </w:pPr>
            <w:r>
              <w:t>$1400</w:t>
            </w:r>
          </w:p>
        </w:tc>
        <w:tc>
          <w:tcPr>
            <w:tcW w:w="2340" w:type="dxa"/>
          </w:tcPr>
          <w:p w14:paraId="68E94127" w14:textId="77777777" w:rsidR="0060058F" w:rsidRPr="0060058F" w:rsidRDefault="0060058F" w:rsidP="001F191E">
            <w:pPr>
              <w:jc w:val="center"/>
            </w:pPr>
            <w:r>
              <w:t>$5,600</w:t>
            </w:r>
          </w:p>
        </w:tc>
      </w:tr>
      <w:tr w:rsidR="0060058F" w:rsidRPr="0060058F" w14:paraId="2F42F365" w14:textId="77777777" w:rsidTr="00297A94">
        <w:tc>
          <w:tcPr>
            <w:tcW w:w="3600" w:type="dxa"/>
            <w:tcBorders>
              <w:bottom w:val="single" w:sz="4" w:space="0" w:color="auto"/>
            </w:tcBorders>
          </w:tcPr>
          <w:p w14:paraId="5035CE68" w14:textId="77777777" w:rsidR="0060058F" w:rsidRPr="0060058F" w:rsidRDefault="0060058F" w:rsidP="001F191E">
            <w:r>
              <w:t>Annual Communication Fee</w:t>
            </w:r>
          </w:p>
        </w:tc>
        <w:tc>
          <w:tcPr>
            <w:tcW w:w="1080" w:type="dxa"/>
            <w:tcBorders>
              <w:bottom w:val="single" w:sz="4" w:space="0" w:color="auto"/>
            </w:tcBorders>
          </w:tcPr>
          <w:p w14:paraId="3B3C52CF" w14:textId="77777777" w:rsidR="0060058F" w:rsidRPr="0060058F" w:rsidRDefault="0060058F" w:rsidP="001F191E">
            <w:pPr>
              <w:jc w:val="center"/>
            </w:pPr>
            <w:r>
              <w:t>18</w:t>
            </w:r>
          </w:p>
        </w:tc>
        <w:tc>
          <w:tcPr>
            <w:tcW w:w="2340" w:type="dxa"/>
            <w:tcBorders>
              <w:bottom w:val="single" w:sz="4" w:space="0" w:color="auto"/>
            </w:tcBorders>
          </w:tcPr>
          <w:p w14:paraId="14419FAD" w14:textId="77777777" w:rsidR="0060058F" w:rsidRPr="0060058F" w:rsidRDefault="0060058F" w:rsidP="001F191E">
            <w:pPr>
              <w:jc w:val="center"/>
            </w:pPr>
            <w:r>
              <w:t>$150</w:t>
            </w:r>
          </w:p>
        </w:tc>
        <w:tc>
          <w:tcPr>
            <w:tcW w:w="2340" w:type="dxa"/>
            <w:tcBorders>
              <w:bottom w:val="single" w:sz="4" w:space="0" w:color="auto"/>
            </w:tcBorders>
          </w:tcPr>
          <w:p w14:paraId="34976679" w14:textId="77777777" w:rsidR="0060058F" w:rsidRPr="0060058F" w:rsidRDefault="0060058F" w:rsidP="001F191E">
            <w:pPr>
              <w:jc w:val="center"/>
            </w:pPr>
            <w:r>
              <w:t>$2,700</w:t>
            </w:r>
          </w:p>
        </w:tc>
      </w:tr>
      <w:tr w:rsidR="0060058F" w:rsidRPr="0060058F" w14:paraId="3ED891C9" w14:textId="77777777" w:rsidTr="00297A94">
        <w:tc>
          <w:tcPr>
            <w:tcW w:w="3600" w:type="dxa"/>
            <w:tcBorders>
              <w:top w:val="single" w:sz="4" w:space="0" w:color="auto"/>
              <w:bottom w:val="single" w:sz="4" w:space="0" w:color="auto"/>
            </w:tcBorders>
          </w:tcPr>
          <w:p w14:paraId="36802F73" w14:textId="77777777" w:rsidR="0060058F" w:rsidRPr="0060058F" w:rsidRDefault="0060058F" w:rsidP="001F191E">
            <w:r>
              <w:t>Monthly Communication Fee</w:t>
            </w:r>
          </w:p>
        </w:tc>
        <w:tc>
          <w:tcPr>
            <w:tcW w:w="1080" w:type="dxa"/>
            <w:tcBorders>
              <w:top w:val="single" w:sz="4" w:space="0" w:color="auto"/>
              <w:bottom w:val="single" w:sz="4" w:space="0" w:color="auto"/>
            </w:tcBorders>
          </w:tcPr>
          <w:p w14:paraId="6EA92CBC" w14:textId="77777777" w:rsidR="0060058F" w:rsidRPr="0060058F" w:rsidRDefault="0060058F" w:rsidP="001F191E">
            <w:pPr>
              <w:jc w:val="center"/>
            </w:pPr>
            <w:r>
              <w:t>16 X 18</w:t>
            </w:r>
          </w:p>
        </w:tc>
        <w:tc>
          <w:tcPr>
            <w:tcW w:w="2340" w:type="dxa"/>
            <w:tcBorders>
              <w:top w:val="single" w:sz="4" w:space="0" w:color="auto"/>
              <w:bottom w:val="single" w:sz="4" w:space="0" w:color="auto"/>
            </w:tcBorders>
          </w:tcPr>
          <w:p w14:paraId="6B261FF4" w14:textId="77777777" w:rsidR="0060058F" w:rsidRPr="0060058F" w:rsidRDefault="0060058F" w:rsidP="001F191E">
            <w:pPr>
              <w:jc w:val="center"/>
            </w:pPr>
            <w:r>
              <w:t>$40/mo</w:t>
            </w:r>
          </w:p>
        </w:tc>
        <w:tc>
          <w:tcPr>
            <w:tcW w:w="2340" w:type="dxa"/>
            <w:tcBorders>
              <w:top w:val="single" w:sz="4" w:space="0" w:color="auto"/>
              <w:bottom w:val="single" w:sz="4" w:space="0" w:color="auto"/>
            </w:tcBorders>
          </w:tcPr>
          <w:p w14:paraId="30A4D6FE" w14:textId="77777777" w:rsidR="0060058F" w:rsidRPr="0060058F" w:rsidRDefault="0060058F" w:rsidP="001F191E">
            <w:pPr>
              <w:jc w:val="center"/>
            </w:pPr>
            <w:r>
              <w:t>$11,520</w:t>
            </w:r>
          </w:p>
        </w:tc>
      </w:tr>
    </w:tbl>
    <w:p w14:paraId="155D98C0" w14:textId="77777777" w:rsidR="00297A94" w:rsidRPr="0060058F" w:rsidRDefault="00297A94" w:rsidP="001F191E">
      <w:pPr>
        <w:tabs>
          <w:tab w:val="clear" w:pos="284"/>
          <w:tab w:val="left" w:pos="3600"/>
          <w:tab w:val="left" w:pos="4680"/>
          <w:tab w:val="left" w:pos="7020"/>
        </w:tabs>
      </w:pPr>
    </w:p>
    <w:p w14:paraId="42B9B13A" w14:textId="77777777" w:rsidR="0060057F" w:rsidRDefault="0060057F" w:rsidP="0060057F">
      <w:pPr>
        <w:pStyle w:val="Heading2"/>
      </w:pPr>
      <w:bookmarkStart w:id="56" w:name="_Toc508894713"/>
      <w:r w:rsidRPr="0060057F">
        <w:t>Costs for operations and maintenance</w:t>
      </w:r>
      <w:bookmarkEnd w:id="56"/>
    </w:p>
    <w:p w14:paraId="68D0CFBD" w14:textId="77777777" w:rsidR="0060057F" w:rsidRDefault="00A4218B" w:rsidP="0060057F">
      <w:pPr>
        <w:pStyle w:val="BodyText"/>
      </w:pPr>
      <w:r>
        <w:t>The annual maintenance costs for the AVL/GPS system on 17 vehicles in Sauk County are presented in Table 3.</w:t>
      </w:r>
    </w:p>
    <w:p w14:paraId="2DBE856A" w14:textId="757D6FAE" w:rsidR="00A4218B" w:rsidRDefault="00A4218B" w:rsidP="00A4218B">
      <w:pPr>
        <w:pStyle w:val="Caption"/>
      </w:pPr>
      <w:bookmarkStart w:id="57" w:name="_Toc508894736"/>
      <w:r>
        <w:t xml:space="preserve">Table </w:t>
      </w:r>
      <w:r>
        <w:fldChar w:fldCharType="begin"/>
      </w:r>
      <w:r>
        <w:instrText xml:space="preserve"> SEQ Table \* ARABIC </w:instrText>
      </w:r>
      <w:r>
        <w:fldChar w:fldCharType="separate"/>
      </w:r>
      <w:r w:rsidR="00E16E42">
        <w:rPr>
          <w:noProof/>
        </w:rPr>
        <w:t>3</w:t>
      </w:r>
      <w:r>
        <w:fldChar w:fldCharType="end"/>
      </w:r>
      <w:r w:rsidR="0038025A">
        <w:t>.</w:t>
      </w:r>
      <w:r>
        <w:t xml:space="preserve"> Sauk County AVL/GPS System Annual Maintenance Costs (2016)</w:t>
      </w:r>
      <w:bookmarkEnd w:id="57"/>
    </w:p>
    <w:tbl>
      <w:tblPr>
        <w:tblStyle w:val="AECOMtable"/>
        <w:tblW w:w="0" w:type="auto"/>
        <w:jc w:val="center"/>
        <w:tblLook w:val="04A0" w:firstRow="1" w:lastRow="0" w:firstColumn="1" w:lastColumn="0" w:noHBand="0" w:noVBand="1"/>
      </w:tblPr>
      <w:tblGrid>
        <w:gridCol w:w="3600"/>
        <w:gridCol w:w="2340"/>
      </w:tblGrid>
      <w:tr w:rsidR="00A4218B" w14:paraId="30D79FB4" w14:textId="77777777" w:rsidTr="00A4218B">
        <w:trPr>
          <w:cnfStyle w:val="100000000000" w:firstRow="1" w:lastRow="0" w:firstColumn="0" w:lastColumn="0" w:oddVBand="0" w:evenVBand="0" w:oddHBand="0" w:evenHBand="0" w:firstRowFirstColumn="0" w:firstRowLastColumn="0" w:lastRowFirstColumn="0" w:lastRowLastColumn="0"/>
          <w:jc w:val="center"/>
        </w:trPr>
        <w:tc>
          <w:tcPr>
            <w:tcW w:w="3600" w:type="dxa"/>
          </w:tcPr>
          <w:p w14:paraId="011101BD" w14:textId="77777777" w:rsidR="00A4218B" w:rsidRDefault="00A4218B" w:rsidP="001F191E">
            <w:pPr>
              <w:spacing w:before="240"/>
            </w:pPr>
            <w:r>
              <w:t>Items</w:t>
            </w:r>
          </w:p>
        </w:tc>
        <w:tc>
          <w:tcPr>
            <w:tcW w:w="2340" w:type="dxa"/>
          </w:tcPr>
          <w:p w14:paraId="047C550E" w14:textId="77777777" w:rsidR="00A4218B" w:rsidRDefault="00A4218B" w:rsidP="001F191E">
            <w:pPr>
              <w:spacing w:before="240"/>
              <w:jc w:val="center"/>
            </w:pPr>
            <w:r>
              <w:t>Total Cost</w:t>
            </w:r>
          </w:p>
        </w:tc>
      </w:tr>
      <w:tr w:rsidR="00A4218B" w:rsidRPr="0060058F" w14:paraId="4DD9B77C" w14:textId="77777777" w:rsidTr="00A4218B">
        <w:trPr>
          <w:jc w:val="center"/>
        </w:trPr>
        <w:tc>
          <w:tcPr>
            <w:tcW w:w="3600" w:type="dxa"/>
          </w:tcPr>
          <w:p w14:paraId="5B168268" w14:textId="77777777" w:rsidR="00A4218B" w:rsidRPr="0060058F" w:rsidRDefault="00A4218B" w:rsidP="001F191E">
            <w:r>
              <w:t>Labor</w:t>
            </w:r>
          </w:p>
        </w:tc>
        <w:tc>
          <w:tcPr>
            <w:tcW w:w="2340" w:type="dxa"/>
          </w:tcPr>
          <w:p w14:paraId="0995AB4F" w14:textId="77777777" w:rsidR="00A4218B" w:rsidRPr="0060058F" w:rsidRDefault="00A4218B" w:rsidP="001F191E">
            <w:pPr>
              <w:jc w:val="center"/>
            </w:pPr>
            <w:r>
              <w:t>$1,389.67</w:t>
            </w:r>
          </w:p>
        </w:tc>
      </w:tr>
      <w:tr w:rsidR="00A4218B" w:rsidRPr="0060058F" w14:paraId="699F8835" w14:textId="77777777" w:rsidTr="00A4218B">
        <w:trPr>
          <w:jc w:val="center"/>
        </w:trPr>
        <w:tc>
          <w:tcPr>
            <w:tcW w:w="3600" w:type="dxa"/>
          </w:tcPr>
          <w:p w14:paraId="3460FC52" w14:textId="77777777" w:rsidR="00A4218B" w:rsidRPr="0060058F" w:rsidRDefault="00A4218B" w:rsidP="001F191E">
            <w:r>
              <w:t>Shop Tools</w:t>
            </w:r>
          </w:p>
        </w:tc>
        <w:tc>
          <w:tcPr>
            <w:tcW w:w="2340" w:type="dxa"/>
          </w:tcPr>
          <w:p w14:paraId="07BC9B54" w14:textId="77777777" w:rsidR="00A4218B" w:rsidRPr="0060058F" w:rsidRDefault="00A4218B" w:rsidP="001F191E">
            <w:pPr>
              <w:jc w:val="center"/>
            </w:pPr>
            <w:r>
              <w:t>$18.07</w:t>
            </w:r>
          </w:p>
        </w:tc>
      </w:tr>
      <w:tr w:rsidR="00A4218B" w:rsidRPr="0060058F" w14:paraId="34657B24" w14:textId="77777777" w:rsidTr="00A4218B">
        <w:trPr>
          <w:jc w:val="center"/>
        </w:trPr>
        <w:tc>
          <w:tcPr>
            <w:tcW w:w="3600" w:type="dxa"/>
          </w:tcPr>
          <w:p w14:paraId="283936EB" w14:textId="77777777" w:rsidR="00A4218B" w:rsidRPr="0060058F" w:rsidRDefault="00A4218B" w:rsidP="001F191E">
            <w:r>
              <w:t>Materials</w:t>
            </w:r>
          </w:p>
        </w:tc>
        <w:tc>
          <w:tcPr>
            <w:tcW w:w="2340" w:type="dxa"/>
          </w:tcPr>
          <w:p w14:paraId="35FC8ACC" w14:textId="77777777" w:rsidR="00A4218B" w:rsidRPr="0060058F" w:rsidRDefault="00A4218B" w:rsidP="001F191E">
            <w:pPr>
              <w:jc w:val="center"/>
            </w:pPr>
            <w:r>
              <w:t>$1,787.34</w:t>
            </w:r>
          </w:p>
        </w:tc>
      </w:tr>
      <w:tr w:rsidR="00A4218B" w:rsidRPr="0060058F" w14:paraId="5A853673" w14:textId="77777777" w:rsidTr="00A4218B">
        <w:trPr>
          <w:jc w:val="center"/>
        </w:trPr>
        <w:tc>
          <w:tcPr>
            <w:tcW w:w="3600" w:type="dxa"/>
          </w:tcPr>
          <w:p w14:paraId="3431F569" w14:textId="77777777" w:rsidR="00A4218B" w:rsidRPr="0060058F" w:rsidRDefault="00A4218B" w:rsidP="001F191E">
            <w:r>
              <w:t>Admin</w:t>
            </w:r>
          </w:p>
        </w:tc>
        <w:tc>
          <w:tcPr>
            <w:tcW w:w="2340" w:type="dxa"/>
          </w:tcPr>
          <w:p w14:paraId="7BA0951B" w14:textId="77777777" w:rsidR="00A4218B" w:rsidRPr="0060058F" w:rsidRDefault="00A4218B" w:rsidP="001F191E">
            <w:pPr>
              <w:jc w:val="center"/>
            </w:pPr>
            <w:r>
              <w:t>$139.94</w:t>
            </w:r>
          </w:p>
        </w:tc>
      </w:tr>
      <w:tr w:rsidR="00A4218B" w:rsidRPr="0060058F" w14:paraId="71405818" w14:textId="77777777" w:rsidTr="00A4218B">
        <w:trPr>
          <w:jc w:val="center"/>
        </w:trPr>
        <w:tc>
          <w:tcPr>
            <w:tcW w:w="3600" w:type="dxa"/>
          </w:tcPr>
          <w:p w14:paraId="4386CD8B" w14:textId="77777777" w:rsidR="00A4218B" w:rsidRPr="0060058F" w:rsidRDefault="00A4218B" w:rsidP="001F191E">
            <w:r>
              <w:t>Total</w:t>
            </w:r>
          </w:p>
        </w:tc>
        <w:tc>
          <w:tcPr>
            <w:tcW w:w="2340" w:type="dxa"/>
          </w:tcPr>
          <w:p w14:paraId="25881953" w14:textId="77777777" w:rsidR="00A4218B" w:rsidRPr="0060058F" w:rsidRDefault="00A4218B" w:rsidP="001F191E">
            <w:pPr>
              <w:jc w:val="center"/>
            </w:pPr>
            <w:r>
              <w:t>$3,335.02</w:t>
            </w:r>
          </w:p>
        </w:tc>
      </w:tr>
    </w:tbl>
    <w:p w14:paraId="4C8093D8" w14:textId="77777777" w:rsidR="0060057F" w:rsidRDefault="003A009F" w:rsidP="0060057F">
      <w:pPr>
        <w:pStyle w:val="Heading2"/>
      </w:pPr>
      <w:bookmarkStart w:id="58" w:name="_Toc508894714"/>
      <w:r>
        <w:t>B</w:t>
      </w:r>
      <w:r w:rsidR="0060057F" w:rsidRPr="0060057F">
        <w:t>enefits</w:t>
      </w:r>
      <w:bookmarkEnd w:id="58"/>
    </w:p>
    <w:p w14:paraId="25997C0D" w14:textId="77777777" w:rsidR="00AC1062" w:rsidRDefault="00AC1062" w:rsidP="003A009F">
      <w:r>
        <w:t>The data gathered by the AVL/GPS system and MDSS allow WisDOT to identify and share best practices in winter operations with all counties.  The data enable WisDOT to analyze material usages, compare performance, and provide evidence-based information to influence winter maintenance practices in the state.  Demonstrating benefits using data also helps facilitate buy-ins from counties.</w:t>
      </w:r>
    </w:p>
    <w:p w14:paraId="0C38C2E9" w14:textId="77777777" w:rsidR="00640E05" w:rsidRDefault="00640E05" w:rsidP="003A009F"/>
    <w:p w14:paraId="789A235B" w14:textId="77777777" w:rsidR="00640E05" w:rsidRDefault="00640E05" w:rsidP="003A009F">
      <w:r>
        <w:lastRenderedPageBreak/>
        <w:t xml:space="preserve">The AVL/GPS system and MDSS also improve situational awareness for winter maintenance.  </w:t>
      </w:r>
      <w:r w:rsidRPr="001E30CA">
        <w:t>County Patrol Superintendents</w:t>
      </w:r>
      <w:r>
        <w:t xml:space="preserve"> can use the information to anticipate staffing and resources needs and better plan for winter maintenance strategies.</w:t>
      </w:r>
    </w:p>
    <w:p w14:paraId="4C4B5B89" w14:textId="77777777" w:rsidR="00030504" w:rsidRDefault="00030504" w:rsidP="003A009F"/>
    <w:p w14:paraId="02036BD1" w14:textId="77777777" w:rsidR="00030504" w:rsidRDefault="00030504" w:rsidP="003A009F">
      <w:r>
        <w:t>As noted earlier, WisDOT began collaborating with 34 counties on a pilot project for route optimization.  Two of the 34 counties, Dane and Brown Counties, have begun evaluating benefits from the 2016-2017 winter.  Preliminary numbers show:</w:t>
      </w:r>
    </w:p>
    <w:p w14:paraId="584BEA9F" w14:textId="77777777" w:rsidR="00030504" w:rsidRDefault="00030504" w:rsidP="003A009F"/>
    <w:p w14:paraId="7374AA5B" w14:textId="77777777" w:rsidR="00030504" w:rsidRDefault="00030504" w:rsidP="00030504">
      <w:pPr>
        <w:pStyle w:val="ListBullet"/>
      </w:pPr>
      <w:r w:rsidRPr="00030504">
        <w:t>When routes are absorbed into larger routes through optimization, it creates savings of roughly $85,000 annually per route.</w:t>
      </w:r>
    </w:p>
    <w:p w14:paraId="5DB858AC" w14:textId="77777777" w:rsidR="00030504" w:rsidRDefault="00030504" w:rsidP="00030504">
      <w:pPr>
        <w:pStyle w:val="ListBullet"/>
      </w:pPr>
      <w:r w:rsidRPr="00030504">
        <w:t>Brown County is saving $1.2M this year in equipment costs, as route optimization effectively absorbed 165 new lane miles and eliminated the need to expand the fleet.</w:t>
      </w:r>
    </w:p>
    <w:p w14:paraId="042EA2D1" w14:textId="77777777" w:rsidR="00030504" w:rsidRDefault="00030504" w:rsidP="00030504">
      <w:pPr>
        <w:pStyle w:val="ListBullet"/>
      </w:pPr>
      <w:r w:rsidRPr="00030504">
        <w:t>Dane County was able to eliminate four additional trucks from its fleet after a second round of optimization. The further analysis was performed to incorporate new shop and shed locations.</w:t>
      </w:r>
    </w:p>
    <w:p w14:paraId="0C28E7B9" w14:textId="77777777" w:rsidR="00030504" w:rsidRDefault="00030504" w:rsidP="003A009F">
      <w:r>
        <w:t xml:space="preserve">WisDOT noted return on investment would be unique to each county, and WisDOT expected to experience significant savings related to operations, material usage, fuel consumption and increases in safety. </w:t>
      </w:r>
    </w:p>
    <w:p w14:paraId="184E55BD" w14:textId="77777777" w:rsidR="00640E05" w:rsidRDefault="00640E05" w:rsidP="003A009F"/>
    <w:p w14:paraId="103BE99D" w14:textId="77777777" w:rsidR="00640E05" w:rsidRDefault="00640E05" w:rsidP="003A009F">
      <w:r>
        <w:t xml:space="preserve">Engine diagnostics gathered by the AVL/GPS system </w:t>
      </w:r>
      <w:r w:rsidR="008F1482">
        <w:t>allow more efficient troubleshooting and repairs by identifying error codes.  The information also helps in early identification of potential programs and preventive maintenance.</w:t>
      </w:r>
    </w:p>
    <w:p w14:paraId="657DD71E" w14:textId="77777777" w:rsidR="007811BC" w:rsidRDefault="007811BC" w:rsidP="003A009F"/>
    <w:p w14:paraId="27B284BF" w14:textId="77AAF889" w:rsidR="003A009F" w:rsidRDefault="007811BC" w:rsidP="003A009F">
      <w:r>
        <w:t>S</w:t>
      </w:r>
      <w:r w:rsidR="003A009F">
        <w:t xml:space="preserve">now plow drivers </w:t>
      </w:r>
      <w:r>
        <w:t xml:space="preserve">have also </w:t>
      </w:r>
      <w:r w:rsidR="003A009F">
        <w:t xml:space="preserve">felt </w:t>
      </w:r>
      <w:r>
        <w:t xml:space="preserve">that </w:t>
      </w:r>
      <w:r w:rsidR="003A009F">
        <w:t xml:space="preserve">the technology helps improve operations. A </w:t>
      </w:r>
      <w:r>
        <w:t xml:space="preserve">Sauk County </w:t>
      </w:r>
      <w:r w:rsidR="003A009F">
        <w:t xml:space="preserve">snow plow driver noted that one of the more positive features of the AVL system has been the ability for them to program an alarm that is provided to the driver when exceeding a speed threshold, or when exceeding a material </w:t>
      </w:r>
      <w:r w:rsidR="0056465A">
        <w:t xml:space="preserve">application rate </w:t>
      </w:r>
      <w:r w:rsidR="003A009F">
        <w:t>threshold during snow plow operations.  The primary task of maintaining focus on the snow plow route during winter storms, in addition to other equipment and sensors on the plow, can cause the driver to lose sight of their current speed or treatment level.  Alarms can also be customized to provide warnings on other items if requested as well</w:t>
      </w:r>
      <w:r>
        <w:t xml:space="preserve"> to improve their overall performance</w:t>
      </w:r>
      <w:r w:rsidR="003A009F">
        <w:t>.</w:t>
      </w:r>
    </w:p>
    <w:p w14:paraId="750D9895" w14:textId="3DB900B9" w:rsidR="007038B3" w:rsidRDefault="007038B3" w:rsidP="003A009F"/>
    <w:p w14:paraId="7D5D9464" w14:textId="2AA657EE" w:rsidR="007038B3" w:rsidRDefault="007038B3" w:rsidP="00B417F3">
      <w:r>
        <w:t>WisDOT also participated in an evaluation study to assess the benefits and costs</w:t>
      </w:r>
      <w:r w:rsidR="00CB3DAD">
        <w:t xml:space="preserve"> of the AVL system over the 2010-2011 winter season.</w:t>
      </w:r>
      <w:r w:rsidR="00CB3DAD">
        <w:rPr>
          <w:rStyle w:val="FootnoteReference"/>
        </w:rPr>
        <w:footnoteReference w:id="2"/>
      </w:r>
      <w:r w:rsidR="00CB3DAD">
        <w:t xml:space="preserve">  </w:t>
      </w:r>
      <w:r w:rsidR="00C441B9">
        <w:t xml:space="preserve">The evaluation focused on salt savings as a result of an improved vehicle operator compliance with </w:t>
      </w:r>
      <w:r w:rsidR="00B417F3">
        <w:t xml:space="preserve">winter </w:t>
      </w:r>
      <w:r w:rsidR="00C441B9">
        <w:t>maintenance guidelines.  M</w:t>
      </w:r>
      <w:r w:rsidR="00737C22">
        <w:t>easures of salt application by c</w:t>
      </w:r>
      <w:r w:rsidR="00C441B9">
        <w:t xml:space="preserve">ounties </w:t>
      </w:r>
      <w:r w:rsidR="00737C22">
        <w:t xml:space="preserve">equipped </w:t>
      </w:r>
      <w:r w:rsidR="00C441B9">
        <w:t xml:space="preserve">with the AVL system were compared against salt applications by </w:t>
      </w:r>
      <w:r w:rsidR="00737C22">
        <w:t>c</w:t>
      </w:r>
      <w:r w:rsidR="00C441B9">
        <w:t xml:space="preserve">ounties without the </w:t>
      </w:r>
      <w:r w:rsidR="00737C22">
        <w:t xml:space="preserve">technology.  </w:t>
      </w:r>
      <w:r w:rsidR="00B417F3">
        <w:t>The report presented benefit-cost ratios</w:t>
      </w:r>
      <w:r w:rsidR="00E15824">
        <w:t xml:space="preserve"> for AVL system installation </w:t>
      </w:r>
      <w:r w:rsidR="00B417F3">
        <w:t>ranging from 1.05 to 1.89, depending on the cost</w:t>
      </w:r>
      <w:r w:rsidR="00737C22">
        <w:t>s</w:t>
      </w:r>
      <w:r w:rsidR="00B417F3">
        <w:t xml:space="preserve"> of salt and </w:t>
      </w:r>
      <w:r w:rsidR="00737C22">
        <w:t>percentage of reduction in</w:t>
      </w:r>
      <w:r w:rsidR="00B417F3">
        <w:t xml:space="preserve"> salt usage.  </w:t>
      </w:r>
      <w:r w:rsidR="00737C22">
        <w:t>T</w:t>
      </w:r>
      <w:r w:rsidR="00B417F3">
        <w:t>he ratios were considered to be conservative</w:t>
      </w:r>
      <w:r w:rsidR="00E15824">
        <w:t>,</w:t>
      </w:r>
      <w:r w:rsidR="00B417F3">
        <w:t xml:space="preserve"> because the savings in salt costs was the only benefit compared against all AVL system costs over an 8-year period</w:t>
      </w:r>
      <w:r w:rsidR="00737C22">
        <w:t>, and none of the intangible benefits were considered</w:t>
      </w:r>
      <w:r w:rsidR="00B417F3">
        <w:t xml:space="preserve">.  The inclusion of </w:t>
      </w:r>
      <w:r w:rsidR="00737C22">
        <w:t>intangible</w:t>
      </w:r>
      <w:r w:rsidR="00B417F3">
        <w:t xml:space="preserve"> benefits from AVL system usage (i.e. environmental benefits, route optimization, etc</w:t>
      </w:r>
      <w:r w:rsidR="000B74A0">
        <w:t>.</w:t>
      </w:r>
      <w:r w:rsidR="00B417F3">
        <w:t>) would increase the ratios beyond what was presented in the report.</w:t>
      </w:r>
    </w:p>
    <w:p w14:paraId="069B6DFB" w14:textId="77777777" w:rsidR="008F1482" w:rsidRDefault="008F1482" w:rsidP="003A009F"/>
    <w:p w14:paraId="13D6DA74" w14:textId="77777777" w:rsidR="008F1482" w:rsidRDefault="008F1482" w:rsidP="003A009F"/>
    <w:p w14:paraId="34874452" w14:textId="77777777" w:rsidR="00C367DE" w:rsidRDefault="00C367DE" w:rsidP="00C367DE">
      <w:pPr>
        <w:pStyle w:val="Heading1"/>
      </w:pPr>
      <w:bookmarkStart w:id="59" w:name="_Toc508894715"/>
      <w:r>
        <w:lastRenderedPageBreak/>
        <w:t>System Issues and Challenges</w:t>
      </w:r>
      <w:bookmarkEnd w:id="59"/>
    </w:p>
    <w:p w14:paraId="4454CFC3" w14:textId="77777777" w:rsidR="00C367DE" w:rsidRDefault="00C367DE" w:rsidP="00C367DE">
      <w:pPr>
        <w:pStyle w:val="Heading2"/>
      </w:pPr>
      <w:bookmarkStart w:id="60" w:name="_Toc508894716"/>
      <w:r>
        <w:t>Institutional Issues</w:t>
      </w:r>
      <w:bookmarkEnd w:id="60"/>
    </w:p>
    <w:p w14:paraId="04B33ABE" w14:textId="4548E8FA" w:rsidR="008F1482" w:rsidRDefault="008F1482" w:rsidP="00BF65F3">
      <w:r>
        <w:t xml:space="preserve">Buy-ins from all 72 counties was a big challenge for the statewide AVL/GPS implementation.  Some counties were early adopters and were willing to try out the system.  </w:t>
      </w:r>
      <w:r w:rsidR="00E63D65">
        <w:t>Some counties were slow to “buy-in” to the use of the AVL/GPS system and/or MDSS</w:t>
      </w:r>
      <w:r w:rsidR="00112161">
        <w:t xml:space="preserve">.  </w:t>
      </w:r>
      <w:r w:rsidR="00E63D65">
        <w:t xml:space="preserve">To facilitate outreach and buy-in, WisDOT staff attended as many County Commissioner meetings as possible, usually scheduled in the summer and the winter.  Those meetings provided good opportunities for WisDOT staff to directly communicate with counties on how AVL/GPS can benefit them.  </w:t>
      </w:r>
      <w:r w:rsidR="00112161">
        <w:t>WisDOT noted that having County Highway Commissioners from counties where the system has been implemented convey and demonstrate the benefits of the system is more convincing tha</w:t>
      </w:r>
      <w:r w:rsidR="0056465A">
        <w:t>n</w:t>
      </w:r>
      <w:r w:rsidR="00112161">
        <w:t xml:space="preserve"> having WisDOT staff delivering the message.  Using real data to demonstrate the benefits also helps promote buy-ins.  Funding for system implementation, operations and maintenance is provided by WisDOT at no cost to counties, which also helps alleviate resistance.</w:t>
      </w:r>
    </w:p>
    <w:p w14:paraId="6AE148C3" w14:textId="77777777" w:rsidR="00112161" w:rsidRDefault="00112161" w:rsidP="00BF65F3"/>
    <w:p w14:paraId="5FB15474" w14:textId="77777777" w:rsidR="0097223E" w:rsidRDefault="00714C9D" w:rsidP="00BF65F3">
      <w:r>
        <w:t xml:space="preserve">Changing material usage culture was also a challenge for a few counties.  </w:t>
      </w:r>
      <w:r w:rsidR="00E63D65">
        <w:t xml:space="preserve">WisDOT encourages counties to </w:t>
      </w:r>
      <w:r w:rsidR="00841265">
        <w:t xml:space="preserve">either follow </w:t>
      </w:r>
      <w:r w:rsidR="00E63D65">
        <w:t xml:space="preserve">the MDSS treatment recommendations </w:t>
      </w:r>
      <w:r w:rsidR="00841265">
        <w:t xml:space="preserve">or use them </w:t>
      </w:r>
      <w:r w:rsidR="00E63D65">
        <w:t>as guidelines to help improve material usage.  It was noted that some counties initially relied heavily on past field experience and practices rather than MDSS recommendations.  WisDOT staff worked with those counties, and by showing the system data,</w:t>
      </w:r>
      <w:r w:rsidR="00BF65F3">
        <w:t xml:space="preserve"> to </w:t>
      </w:r>
      <w:r w:rsidR="00E63D65">
        <w:t xml:space="preserve">influence their practice in type of material used and </w:t>
      </w:r>
      <w:r>
        <w:t xml:space="preserve">application rates to </w:t>
      </w:r>
      <w:r w:rsidR="00BF65F3">
        <w:t xml:space="preserve">improve </w:t>
      </w:r>
      <w:r>
        <w:t>their winter maintenance performance</w:t>
      </w:r>
      <w:r w:rsidR="00BF65F3">
        <w:t>.</w:t>
      </w:r>
    </w:p>
    <w:p w14:paraId="3101CA79" w14:textId="77777777" w:rsidR="00841265" w:rsidRDefault="00841265" w:rsidP="00BF65F3"/>
    <w:p w14:paraId="2CC13FC0" w14:textId="77777777" w:rsidR="00DB411A" w:rsidRDefault="00DB411A" w:rsidP="00DB411A">
      <w:pPr>
        <w:spacing w:line="240" w:lineRule="auto"/>
      </w:pPr>
      <w:r>
        <w:t xml:space="preserve">Regarding the general “big brother” concerns about the use of </w:t>
      </w:r>
      <w:r w:rsidR="00D129EC">
        <w:t>AVL/GPS</w:t>
      </w:r>
      <w:r>
        <w:t xml:space="preserve"> systems, t</w:t>
      </w:r>
      <w:r w:rsidRPr="003A009F">
        <w:t xml:space="preserve">he </w:t>
      </w:r>
      <w:r>
        <w:t xml:space="preserve">Sauk </w:t>
      </w:r>
      <w:r w:rsidRPr="003A009F">
        <w:t xml:space="preserve">County Patrol Superintendent acknowledged that there were some </w:t>
      </w:r>
      <w:r>
        <w:t xml:space="preserve">initial </w:t>
      </w:r>
      <w:r w:rsidRPr="003A009F">
        <w:t>driver-level concerns about the system being used by superintendents to monitor every route taken by drivers</w:t>
      </w:r>
      <w:r>
        <w:t xml:space="preserve">, and using the system </w:t>
      </w:r>
      <w:r w:rsidRPr="003A009F">
        <w:t xml:space="preserve">as a disciplinary tool against drivers.  However, the concerns </w:t>
      </w:r>
      <w:r>
        <w:t xml:space="preserve">gradually dissipated </w:t>
      </w:r>
      <w:r w:rsidRPr="003A009F">
        <w:t>once drivers realized the system was not being used in a disciplinary manner, and more for weather forecasting and planning for winter maintenance operations.</w:t>
      </w:r>
    </w:p>
    <w:p w14:paraId="0CB780A5" w14:textId="77777777" w:rsidR="00C367DE" w:rsidRDefault="00C367DE" w:rsidP="00C367DE">
      <w:pPr>
        <w:pStyle w:val="Heading2"/>
      </w:pPr>
      <w:bookmarkStart w:id="61" w:name="_Toc508894717"/>
      <w:r>
        <w:t>Technology Issues</w:t>
      </w:r>
      <w:bookmarkEnd w:id="61"/>
    </w:p>
    <w:p w14:paraId="76CEEFE3" w14:textId="7CCA628A" w:rsidR="003A009F" w:rsidRDefault="005E3CB0" w:rsidP="003A009F">
      <w:pPr>
        <w:spacing w:line="240" w:lineRule="auto"/>
      </w:pPr>
      <w:r w:rsidRPr="005E3CB0">
        <w:t>The AVL/GPS system functioned as expected.  No issues on the technology side were reported by WisDOT or counties.</w:t>
      </w:r>
      <w:r>
        <w:t xml:space="preserve">  WisDOT and counties did not experience issues with the integration of the AVL/GPS system and other equipment either.</w:t>
      </w:r>
    </w:p>
    <w:p w14:paraId="7B33506D" w14:textId="60140B70" w:rsidR="00CB6178" w:rsidRDefault="00CB6178" w:rsidP="003A009F">
      <w:pPr>
        <w:spacing w:line="240" w:lineRule="auto"/>
      </w:pPr>
    </w:p>
    <w:p w14:paraId="7C07A618" w14:textId="7D40209A" w:rsidR="00CB6178" w:rsidRPr="003A009F" w:rsidRDefault="00CB6178" w:rsidP="003A009F">
      <w:pPr>
        <w:spacing w:line="240" w:lineRule="auto"/>
      </w:pPr>
      <w:r>
        <w:t xml:space="preserve">One county (Vernon) did experience significant communications issues due to a lack of good cellular phone coverage.  They then decided to pilot the </w:t>
      </w:r>
      <w:r w:rsidR="000B74A0">
        <w:t>Wi-Fi</w:t>
      </w:r>
      <w:r>
        <w:t xml:space="preserve"> communications system.  This has worked well for them, though it doesn’t allow for real-time vehicle location.  Data is only uploaded when the vehicles return to the depots.</w:t>
      </w:r>
    </w:p>
    <w:p w14:paraId="7BD5CF46" w14:textId="77777777" w:rsidR="00C367DE" w:rsidRDefault="00C367DE" w:rsidP="00C367DE">
      <w:pPr>
        <w:pStyle w:val="Heading2"/>
      </w:pPr>
      <w:bookmarkStart w:id="62" w:name="_Toc508894718"/>
      <w:r>
        <w:t>Procurement and Implementation Issues</w:t>
      </w:r>
      <w:bookmarkEnd w:id="62"/>
    </w:p>
    <w:p w14:paraId="547D9B5A" w14:textId="77777777" w:rsidR="00F16B7F" w:rsidRDefault="00F16B7F" w:rsidP="00F16B7F">
      <w:pPr>
        <w:pStyle w:val="Heading3"/>
      </w:pPr>
      <w:bookmarkStart w:id="63" w:name="_Toc508894719"/>
      <w:r>
        <w:t>Procurement Issues</w:t>
      </w:r>
      <w:bookmarkEnd w:id="63"/>
    </w:p>
    <w:p w14:paraId="71BDAD53" w14:textId="4FAF76F9" w:rsidR="00EF0793" w:rsidRDefault="00030504" w:rsidP="00C367DE">
      <w:r>
        <w:t>WisDOT did</w:t>
      </w:r>
      <w:r w:rsidR="00AE1303">
        <w:t xml:space="preserve"> </w:t>
      </w:r>
      <w:r>
        <w:t>n</w:t>
      </w:r>
      <w:r w:rsidR="00AE1303">
        <w:t>o</w:t>
      </w:r>
      <w:r>
        <w:t>t experience any issues related to procurement.</w:t>
      </w:r>
      <w:r w:rsidR="00CB6178">
        <w:t xml:space="preserve">  Two counties did decide to procure from a vendor other than PreCise, but both have since switched to PreCise.</w:t>
      </w:r>
      <w:r w:rsidR="00EF0793">
        <w:t xml:space="preserve">  </w:t>
      </w:r>
    </w:p>
    <w:p w14:paraId="14AF3CFF" w14:textId="77777777" w:rsidR="00F16B7F" w:rsidRDefault="00F16B7F" w:rsidP="00F16B7F">
      <w:pPr>
        <w:pStyle w:val="Heading3"/>
      </w:pPr>
      <w:bookmarkStart w:id="64" w:name="_Toc508894720"/>
      <w:r>
        <w:t>Implementation Issues</w:t>
      </w:r>
      <w:bookmarkEnd w:id="64"/>
    </w:p>
    <w:p w14:paraId="21C3AF39" w14:textId="46E750A7" w:rsidR="00622AD3" w:rsidRDefault="00622AD3" w:rsidP="00412894">
      <w:pPr>
        <w:spacing w:line="240" w:lineRule="auto"/>
      </w:pPr>
      <w:r w:rsidRPr="006F2F90">
        <w:t xml:space="preserve">Sauk County noted that two technicians </w:t>
      </w:r>
      <w:r>
        <w:t xml:space="preserve">are </w:t>
      </w:r>
      <w:r w:rsidR="00D37A90">
        <w:t>trained to perform</w:t>
      </w:r>
      <w:r w:rsidRPr="006F2F90">
        <w:t xml:space="preserve"> AVL/GPS installation</w:t>
      </w:r>
      <w:r>
        <w:t>.  O</w:t>
      </w:r>
      <w:r w:rsidRPr="006F2F90">
        <w:t xml:space="preserve">ne </w:t>
      </w:r>
      <w:r>
        <w:t>staff person handles</w:t>
      </w:r>
      <w:r w:rsidRPr="006F2F90">
        <w:t xml:space="preserve"> the installation </w:t>
      </w:r>
      <w:r>
        <w:t xml:space="preserve">of AVL/GPS equipment </w:t>
      </w:r>
      <w:r w:rsidRPr="006F2F90">
        <w:t xml:space="preserve">on new </w:t>
      </w:r>
      <w:r>
        <w:t xml:space="preserve">snow plow </w:t>
      </w:r>
      <w:r w:rsidRPr="006F2F90">
        <w:t>vehicles</w:t>
      </w:r>
      <w:r>
        <w:t>,</w:t>
      </w:r>
      <w:r w:rsidRPr="006F2F90">
        <w:t xml:space="preserve"> and another </w:t>
      </w:r>
      <w:r>
        <w:t xml:space="preserve">staff person installs the equipment on the </w:t>
      </w:r>
      <w:r w:rsidRPr="006F2F90">
        <w:t xml:space="preserve">older vehicles. </w:t>
      </w:r>
      <w:r>
        <w:t xml:space="preserve"> Staff noted that no </w:t>
      </w:r>
      <w:r w:rsidRPr="006F2F90">
        <w:t xml:space="preserve">installation issues </w:t>
      </w:r>
      <w:r>
        <w:t xml:space="preserve">related to the AVL/GPS have been </w:t>
      </w:r>
      <w:r w:rsidRPr="006F2F90">
        <w:t>experienced to date</w:t>
      </w:r>
      <w:r>
        <w:t xml:space="preserve"> for the County</w:t>
      </w:r>
      <w:r w:rsidRPr="006F2F90">
        <w:t>.</w:t>
      </w:r>
    </w:p>
    <w:p w14:paraId="6B25D41A" w14:textId="77777777" w:rsidR="00412894" w:rsidRDefault="00412894" w:rsidP="00412894">
      <w:pPr>
        <w:spacing w:line="240" w:lineRule="auto"/>
      </w:pPr>
    </w:p>
    <w:p w14:paraId="2546E4B4" w14:textId="0D93E2B5" w:rsidR="00DB411A" w:rsidRDefault="00DB411A" w:rsidP="006F2F90">
      <w:pPr>
        <w:spacing w:line="240" w:lineRule="auto"/>
      </w:pPr>
      <w:r w:rsidRPr="00DB411A">
        <w:t xml:space="preserve">It was noted that the previously installed RoadWatch Air/Surface Temperature Sensors were near the end of life and their quality has deteriorated over time. </w:t>
      </w:r>
      <w:r>
        <w:t xml:space="preserve"> </w:t>
      </w:r>
      <w:r w:rsidR="00412894">
        <w:t xml:space="preserve">Those sensors </w:t>
      </w:r>
      <w:r w:rsidR="00D37A90">
        <w:t>are being</w:t>
      </w:r>
      <w:r w:rsidR="00412894">
        <w:t xml:space="preserve"> replaced by Force America sensors over time.  </w:t>
      </w:r>
      <w:r w:rsidRPr="00DB411A">
        <w:t>Force America has newer sensors, both wire</w:t>
      </w:r>
      <w:r>
        <w:t>d</w:t>
      </w:r>
      <w:r w:rsidRPr="00DB411A">
        <w:t xml:space="preserve"> and wireless models. Installation and integration of the wired model has been straightforward for </w:t>
      </w:r>
      <w:r w:rsidR="00101D49">
        <w:t>the c</w:t>
      </w:r>
      <w:r w:rsidRPr="00DB411A">
        <w:t>ounty staff that handle the installation.</w:t>
      </w:r>
    </w:p>
    <w:p w14:paraId="2BC09F97" w14:textId="77777777" w:rsidR="00C367DE" w:rsidRDefault="00C367DE" w:rsidP="00C367DE">
      <w:pPr>
        <w:pStyle w:val="Heading2"/>
      </w:pPr>
      <w:bookmarkStart w:id="65" w:name="_Toc508894721"/>
      <w:r>
        <w:t>Operations and Maintenance Issues</w:t>
      </w:r>
      <w:bookmarkEnd w:id="65"/>
    </w:p>
    <w:p w14:paraId="17B7214D" w14:textId="36F3525E" w:rsidR="00DB411A" w:rsidRDefault="00DB411A" w:rsidP="00DB411A">
      <w:pPr>
        <w:spacing w:line="240" w:lineRule="auto"/>
      </w:pPr>
      <w:r>
        <w:t>After the MDSS system installation, a</w:t>
      </w:r>
      <w:r w:rsidRPr="006F2F90">
        <w:t>n initial concern from counties regarding MDSS treatment recommendations was that they would be required to follow the recommendations strictly</w:t>
      </w:r>
      <w:r>
        <w:t xml:space="preserve"> as presented</w:t>
      </w:r>
      <w:r w:rsidRPr="006F2F90">
        <w:t xml:space="preserve">.  WisDOT </w:t>
      </w:r>
      <w:r>
        <w:t xml:space="preserve">staff </w:t>
      </w:r>
      <w:r w:rsidRPr="006F2F90">
        <w:t xml:space="preserve">noted that the treatment recommendations are viewed as guidance for County Patrol Superintendents in communicating the appropriate application rate with snow plow drivers.  This clarification by WisDOT has eased some concerns in </w:t>
      </w:r>
      <w:r w:rsidR="00CB6178">
        <w:t>c</w:t>
      </w:r>
      <w:r w:rsidRPr="006F2F90">
        <w:t>ounties that might view the recommendations as direction for how to treat roadways.</w:t>
      </w:r>
    </w:p>
    <w:p w14:paraId="67853859" w14:textId="77777777" w:rsidR="00951AA8" w:rsidRDefault="00951AA8" w:rsidP="00DB411A">
      <w:pPr>
        <w:spacing w:line="240" w:lineRule="auto"/>
      </w:pPr>
    </w:p>
    <w:p w14:paraId="7CCFA311" w14:textId="77777777" w:rsidR="00951AA8" w:rsidRDefault="00951AA8" w:rsidP="00DB411A">
      <w:pPr>
        <w:spacing w:line="240" w:lineRule="auto"/>
      </w:pPr>
      <w:r>
        <w:t>The Federal earmark funding for WisDOT’s AVL/GPS program may run out in the next two years.  WisDOT is working on identifying funding sources to provide continued support to the program.</w:t>
      </w:r>
    </w:p>
    <w:p w14:paraId="5A53BFEB" w14:textId="77777777" w:rsidR="0048753C" w:rsidRDefault="0048753C" w:rsidP="00DB411A">
      <w:pPr>
        <w:spacing w:line="240" w:lineRule="auto"/>
      </w:pPr>
    </w:p>
    <w:p w14:paraId="2FD618E9" w14:textId="77777777" w:rsidR="0048753C" w:rsidRDefault="0048753C" w:rsidP="00DB411A">
      <w:pPr>
        <w:spacing w:line="240" w:lineRule="auto"/>
      </w:pPr>
    </w:p>
    <w:p w14:paraId="54E89D1F" w14:textId="77777777" w:rsidR="00C367DE" w:rsidRDefault="00C367DE" w:rsidP="00C367DE">
      <w:pPr>
        <w:pStyle w:val="Heading1"/>
      </w:pPr>
      <w:bookmarkStart w:id="66" w:name="_Toc508894722"/>
      <w:r>
        <w:t>Lessons Learned</w:t>
      </w:r>
      <w:bookmarkEnd w:id="66"/>
    </w:p>
    <w:p w14:paraId="7AE09DFA" w14:textId="77777777" w:rsidR="00C367DE" w:rsidRDefault="00AF63CA" w:rsidP="00C367DE">
      <w:pPr>
        <w:pStyle w:val="BodyText"/>
      </w:pPr>
      <w:r>
        <w:t xml:space="preserve">Key </w:t>
      </w:r>
      <w:r w:rsidR="004D15DE">
        <w:t xml:space="preserve">observations and </w:t>
      </w:r>
      <w:r>
        <w:t>lessons learned from WisDOT</w:t>
      </w:r>
      <w:r w:rsidR="005A5D91">
        <w:t>’s</w:t>
      </w:r>
      <w:r>
        <w:t xml:space="preserve"> </w:t>
      </w:r>
      <w:r w:rsidR="00D129EC">
        <w:t>AVL/GPS</w:t>
      </w:r>
      <w:r>
        <w:t xml:space="preserve"> system </w:t>
      </w:r>
      <w:r w:rsidR="005A5D91">
        <w:t>implementation</w:t>
      </w:r>
      <w:r>
        <w:t xml:space="preserve"> are offered below: </w:t>
      </w:r>
    </w:p>
    <w:p w14:paraId="1619795B" w14:textId="1F6E4F94" w:rsidR="00AF63CA" w:rsidRDefault="00AF159D" w:rsidP="00AF63CA">
      <w:pPr>
        <w:pStyle w:val="ListBullet"/>
      </w:pPr>
      <w:r>
        <w:t>R</w:t>
      </w:r>
      <w:r w:rsidR="003F261B">
        <w:t xml:space="preserve">egular </w:t>
      </w:r>
      <w:r w:rsidR="00AF63CA">
        <w:t xml:space="preserve">communication </w:t>
      </w:r>
      <w:r w:rsidR="004D15DE">
        <w:t xml:space="preserve">with users (in this case individual Wisconsin counties) </w:t>
      </w:r>
      <w:r>
        <w:t xml:space="preserve">on the benefits of </w:t>
      </w:r>
      <w:r w:rsidR="004D15DE">
        <w:t>using the</w:t>
      </w:r>
      <w:r>
        <w:t xml:space="preserve"> AVL/GPS system </w:t>
      </w:r>
      <w:r w:rsidR="004D15DE">
        <w:t>helps</w:t>
      </w:r>
      <w:r w:rsidR="00D37BA8">
        <w:t xml:space="preserve"> </w:t>
      </w:r>
      <w:r w:rsidR="004D15DE">
        <w:t>promote proper utilization.</w:t>
      </w:r>
    </w:p>
    <w:p w14:paraId="6A516382" w14:textId="77777777" w:rsidR="004D15DE" w:rsidRDefault="004D15DE" w:rsidP="00AF63CA">
      <w:pPr>
        <w:pStyle w:val="ListBullet"/>
      </w:pPr>
      <w:r>
        <w:t>With AVL data,</w:t>
      </w:r>
      <w:r w:rsidR="00C30B06">
        <w:t xml:space="preserve"> </w:t>
      </w:r>
      <w:r>
        <w:t xml:space="preserve">quality of the </w:t>
      </w:r>
      <w:r w:rsidR="009C2E37">
        <w:t xml:space="preserve">MDSS </w:t>
      </w:r>
      <w:r>
        <w:t xml:space="preserve">weather forecasts and </w:t>
      </w:r>
      <w:r w:rsidR="009C2E37">
        <w:t>treatment recommendations improve</w:t>
      </w:r>
      <w:r>
        <w:t>s</w:t>
      </w:r>
      <w:r w:rsidR="009C2E37">
        <w:t>.</w:t>
      </w:r>
    </w:p>
    <w:p w14:paraId="4F636F0E" w14:textId="1703EE02" w:rsidR="009C2E37" w:rsidRDefault="009C2E37" w:rsidP="00AF63CA">
      <w:pPr>
        <w:pStyle w:val="ListBullet"/>
      </w:pPr>
      <w:r>
        <w:t>The ability to view neighboring counties</w:t>
      </w:r>
      <w:r w:rsidR="00C30B06">
        <w:t xml:space="preserve">’ weather forecasts and recommended treatment strategies </w:t>
      </w:r>
      <w:r w:rsidR="00CB6178">
        <w:t>in MDSS</w:t>
      </w:r>
      <w:r w:rsidR="006865B5">
        <w:t xml:space="preserve"> </w:t>
      </w:r>
      <w:r w:rsidR="00C30B06">
        <w:t>provides</w:t>
      </w:r>
      <w:r>
        <w:t xml:space="preserve"> a better picture on winter storms and progression</w:t>
      </w:r>
      <w:r w:rsidR="00C30B06">
        <w:t xml:space="preserve">.  It </w:t>
      </w:r>
      <w:r w:rsidR="004D15DE">
        <w:t>also proves</w:t>
      </w:r>
      <w:r>
        <w:t xml:space="preserve"> </w:t>
      </w:r>
      <w:r w:rsidR="00D37A90">
        <w:t xml:space="preserve">a </w:t>
      </w:r>
      <w:r>
        <w:t xml:space="preserve">very helpful </w:t>
      </w:r>
      <w:r w:rsidR="0048753C">
        <w:t xml:space="preserve">tool </w:t>
      </w:r>
      <w:r>
        <w:t xml:space="preserve">for </w:t>
      </w:r>
      <w:r w:rsidR="00C30B06">
        <w:t xml:space="preserve">resource planning and </w:t>
      </w:r>
      <w:r>
        <w:t>timing of winter maintenance</w:t>
      </w:r>
      <w:r w:rsidR="00C30B06">
        <w:t xml:space="preserve"> activities</w:t>
      </w:r>
      <w:r w:rsidR="00951AA8">
        <w:t>.</w:t>
      </w:r>
    </w:p>
    <w:p w14:paraId="34A85D74" w14:textId="77777777" w:rsidR="00951AA8" w:rsidRDefault="00951AA8" w:rsidP="00951AA8">
      <w:pPr>
        <w:pStyle w:val="ListBullet"/>
      </w:pPr>
      <w:r>
        <w:t xml:space="preserve">Having peers at a region- or county-level to communicate and demonstrate the benefits of the system and best practices is more </w:t>
      </w:r>
      <w:r w:rsidR="004D15DE">
        <w:t xml:space="preserve">creditable and </w:t>
      </w:r>
      <w:r>
        <w:t>convincing than having the DOT Central Office staff presenting the information.</w:t>
      </w:r>
    </w:p>
    <w:p w14:paraId="3A15FE29" w14:textId="77777777" w:rsidR="009C2E37" w:rsidRDefault="009C2E37" w:rsidP="00AF63CA">
      <w:pPr>
        <w:pStyle w:val="ListBullet"/>
      </w:pPr>
      <w:r>
        <w:t xml:space="preserve">The data and reports provided through the AVL and MDSS software interfaces </w:t>
      </w:r>
      <w:r w:rsidR="005A5D91">
        <w:t>illustrate evidence and help promote buy-in for system implementation and utilization</w:t>
      </w:r>
      <w:r w:rsidR="001F191E">
        <w:t>.</w:t>
      </w:r>
    </w:p>
    <w:p w14:paraId="78C44E9F" w14:textId="77777777" w:rsidR="00951AA8" w:rsidRDefault="00951AA8" w:rsidP="00951AA8">
      <w:pPr>
        <w:pStyle w:val="ListBullet"/>
      </w:pPr>
      <w:r>
        <w:t xml:space="preserve">Changing material usage culture can be challenging.  </w:t>
      </w:r>
      <w:r w:rsidR="00720485">
        <w:t>A combination of o</w:t>
      </w:r>
      <w:r>
        <w:t>utreach, education, training</w:t>
      </w:r>
      <w:r w:rsidR="00720485">
        <w:t>,</w:t>
      </w:r>
      <w:r>
        <w:t xml:space="preserve"> peer communication and evidence from field data </w:t>
      </w:r>
      <w:r w:rsidR="00720485">
        <w:t>provide support to</w:t>
      </w:r>
      <w:r>
        <w:t xml:space="preserve"> influenc</w:t>
      </w:r>
      <w:r w:rsidR="00720485">
        <w:t>e</w:t>
      </w:r>
      <w:r>
        <w:t xml:space="preserve"> field practice in type of material used and application rates.</w:t>
      </w:r>
    </w:p>
    <w:p w14:paraId="1E0920E6" w14:textId="77777777" w:rsidR="001F191E" w:rsidRDefault="001F191E" w:rsidP="00AF63CA">
      <w:pPr>
        <w:pStyle w:val="ListBullet"/>
      </w:pPr>
      <w:r>
        <w:t>Understand</w:t>
      </w:r>
      <w:r w:rsidR="00AF159D">
        <w:t>ing</w:t>
      </w:r>
      <w:r>
        <w:t xml:space="preserve"> </w:t>
      </w:r>
      <w:r w:rsidR="00951AA8">
        <w:t xml:space="preserve">the </w:t>
      </w:r>
      <w:r>
        <w:t>ongoing costs for operations and maintenance</w:t>
      </w:r>
      <w:r w:rsidR="00AF159D">
        <w:t xml:space="preserve"> is critical to the success and sustainability of the program.</w:t>
      </w:r>
    </w:p>
    <w:p w14:paraId="5F3FEA33" w14:textId="77777777" w:rsidR="00C367DE" w:rsidRDefault="00C367DE" w:rsidP="00C367DE"/>
    <w:p w14:paraId="32088DC8" w14:textId="77777777" w:rsidR="00C367DE" w:rsidRPr="00D11DC5" w:rsidRDefault="00C367DE" w:rsidP="00C367DE">
      <w:pPr>
        <w:pStyle w:val="BodyText"/>
      </w:pPr>
    </w:p>
    <w:p w14:paraId="0D33F0AD" w14:textId="77777777" w:rsidR="000D13AF" w:rsidRDefault="000D13AF" w:rsidP="000D13AF">
      <w:pPr>
        <w:pStyle w:val="BodyText"/>
      </w:pPr>
    </w:p>
    <w:p w14:paraId="1CA4C71C" w14:textId="77777777" w:rsidR="0080324C" w:rsidRDefault="00C367DE" w:rsidP="0080324C">
      <w:pPr>
        <w:pStyle w:val="Appendix"/>
      </w:pPr>
      <w:bookmarkStart w:id="67" w:name="_Toc508894723"/>
      <w:r>
        <w:lastRenderedPageBreak/>
        <w:t>Survey Response</w:t>
      </w:r>
      <w:bookmarkEnd w:id="67"/>
    </w:p>
    <w:p w14:paraId="787741BA" w14:textId="77777777" w:rsidR="004738E7" w:rsidRDefault="004738E7" w:rsidP="004738E7">
      <w:pPr>
        <w:pStyle w:val="BodyText"/>
      </w:pPr>
      <w:r w:rsidRPr="004738E7">
        <w:rPr>
          <w:noProof/>
        </w:rPr>
        <w:drawing>
          <wp:inline distT="0" distB="0" distL="0" distR="0" wp14:anchorId="5074174F" wp14:editId="10AF23F8">
            <wp:extent cx="5338129" cy="7772400"/>
            <wp:effectExtent l="0" t="0" r="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338129" cy="7772400"/>
                    </a:xfrm>
                    <a:prstGeom prst="rect">
                      <a:avLst/>
                    </a:prstGeom>
                  </pic:spPr>
                </pic:pic>
              </a:graphicData>
            </a:graphic>
          </wp:inline>
        </w:drawing>
      </w:r>
    </w:p>
    <w:p w14:paraId="1221847E" w14:textId="77777777" w:rsidR="004738E7" w:rsidRDefault="004738E7" w:rsidP="004738E7">
      <w:pPr>
        <w:pStyle w:val="BodyText"/>
      </w:pPr>
      <w:r w:rsidRPr="004738E7">
        <w:rPr>
          <w:noProof/>
        </w:rPr>
        <w:lastRenderedPageBreak/>
        <w:drawing>
          <wp:inline distT="0" distB="0" distL="0" distR="0" wp14:anchorId="2A0394A5" wp14:editId="666A5694">
            <wp:extent cx="5592409" cy="7772400"/>
            <wp:effectExtent l="0" t="0" r="889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592409" cy="7772400"/>
                    </a:xfrm>
                    <a:prstGeom prst="rect">
                      <a:avLst/>
                    </a:prstGeom>
                  </pic:spPr>
                </pic:pic>
              </a:graphicData>
            </a:graphic>
          </wp:inline>
        </w:drawing>
      </w:r>
    </w:p>
    <w:p w14:paraId="2AE49C6F" w14:textId="77777777" w:rsidR="004738E7" w:rsidRDefault="004738E7" w:rsidP="004738E7">
      <w:pPr>
        <w:pStyle w:val="BodyText"/>
      </w:pPr>
      <w:r w:rsidRPr="004738E7">
        <w:rPr>
          <w:noProof/>
        </w:rPr>
        <w:lastRenderedPageBreak/>
        <w:drawing>
          <wp:inline distT="0" distB="0" distL="0" distR="0" wp14:anchorId="18886766" wp14:editId="43F382A8">
            <wp:extent cx="5563024" cy="77724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563024" cy="7772400"/>
                    </a:xfrm>
                    <a:prstGeom prst="rect">
                      <a:avLst/>
                    </a:prstGeom>
                  </pic:spPr>
                </pic:pic>
              </a:graphicData>
            </a:graphic>
          </wp:inline>
        </w:drawing>
      </w:r>
    </w:p>
    <w:p w14:paraId="1F520CD1" w14:textId="77777777" w:rsidR="004738E7" w:rsidRPr="004738E7" w:rsidRDefault="004738E7" w:rsidP="004738E7">
      <w:pPr>
        <w:pStyle w:val="BodyText"/>
      </w:pPr>
      <w:r w:rsidRPr="004738E7">
        <w:rPr>
          <w:noProof/>
        </w:rPr>
        <w:lastRenderedPageBreak/>
        <w:drawing>
          <wp:inline distT="0" distB="0" distL="0" distR="0" wp14:anchorId="6FE82F42" wp14:editId="3969FB13">
            <wp:extent cx="2148205" cy="7772400"/>
            <wp:effectExtent l="0" t="0" r="444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148205" cy="7772400"/>
                    </a:xfrm>
                    <a:prstGeom prst="rect">
                      <a:avLst/>
                    </a:prstGeom>
                  </pic:spPr>
                </pic:pic>
              </a:graphicData>
            </a:graphic>
          </wp:inline>
        </w:drawing>
      </w:r>
    </w:p>
    <w:p w14:paraId="29C27423" w14:textId="77777777" w:rsidR="00C367DE" w:rsidRDefault="00C367DE" w:rsidP="00C367DE">
      <w:pPr>
        <w:tabs>
          <w:tab w:val="clear" w:pos="284"/>
        </w:tabs>
        <w:spacing w:line="240" w:lineRule="auto"/>
      </w:pPr>
      <w:r>
        <w:br w:type="page"/>
      </w:r>
    </w:p>
    <w:p w14:paraId="23EE1DC3" w14:textId="77777777" w:rsidR="00C367DE" w:rsidRDefault="00F505FA" w:rsidP="00C367DE">
      <w:pPr>
        <w:pStyle w:val="Appendix"/>
      </w:pPr>
      <w:bookmarkStart w:id="68" w:name="_Toc508894724"/>
      <w:r>
        <w:lastRenderedPageBreak/>
        <w:t>Excerpts of WisDOT RFP Requirements</w:t>
      </w:r>
      <w:bookmarkEnd w:id="68"/>
    </w:p>
    <w:p w14:paraId="00F87A6A" w14:textId="77777777" w:rsidR="00F505FA" w:rsidRDefault="00F505FA" w:rsidP="00F505FA">
      <w:pPr>
        <w:autoSpaceDE w:val="0"/>
        <w:autoSpaceDN w:val="0"/>
        <w:adjustRightInd w:val="0"/>
        <w:spacing w:before="240" w:line="240" w:lineRule="auto"/>
        <w:rPr>
          <w:rFonts w:ascii="Cambria,Bold" w:hAnsi="Cambria,Bold" w:cs="Cambria,Bold"/>
          <w:b/>
          <w:bCs/>
          <w:color w:val="365F92"/>
          <w:sz w:val="24"/>
          <w:szCs w:val="24"/>
        </w:rPr>
      </w:pPr>
      <w:r>
        <w:rPr>
          <w:rFonts w:ascii="Cambria,Bold" w:hAnsi="Cambria,Bold" w:cs="Cambria,Bold"/>
          <w:b/>
          <w:bCs/>
          <w:color w:val="000000"/>
          <w:sz w:val="24"/>
          <w:szCs w:val="24"/>
        </w:rPr>
        <w:t xml:space="preserve">4 </w:t>
      </w:r>
      <w:r>
        <w:rPr>
          <w:rFonts w:ascii="Cambria,Bold" w:hAnsi="Cambria,Bold" w:cs="Cambria,Bold"/>
          <w:b/>
          <w:bCs/>
          <w:color w:val="365F92"/>
          <w:sz w:val="24"/>
          <w:szCs w:val="24"/>
        </w:rPr>
        <w:t>PROPOSER INFORMATION AND SOLUTIONS</w:t>
      </w:r>
    </w:p>
    <w:p w14:paraId="577CED4D"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4.1 Mandatory requirements</w:t>
      </w:r>
    </w:p>
    <w:p w14:paraId="6EA89709"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The following requirements are mandatory and the proposer must satisfy them as a pass/fail prescreening requirement. Any proposal submitted not in compliance with mandatory requirements may be rejected and not evaluated or scored. During the demonstration, proposers might be asked to provide proof of functionality in other jurisdictions.</w:t>
      </w:r>
    </w:p>
    <w:p w14:paraId="54B7276F"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4.1.1 Software edition or version.</w:t>
      </w:r>
    </w:p>
    <w:p w14:paraId="1170AE36"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 xml:space="preserve">Unless otherwise specified the software and firmware must be the latest edition or version. If, during the contract period the vendor must hold the proposal prices firm, a new edition or version is introduced, the purchaser reserves the sole right to choose to buy the old version at the proposed price; to buy the new version at the proposed price, or, to cancel the item from the proposal. </w:t>
      </w:r>
    </w:p>
    <w:p w14:paraId="2AD7FBC6"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4.1.2 Contractor responsibility</w:t>
      </w:r>
    </w:p>
    <w:p w14:paraId="3AE2B093"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The contractor is solely responsible for fulfilling the contract, with responsibility for all services offered and products to be delivered as stated in the RFP and purchaser’s work order. The contractor shall be the sole point of contact regarding all contract matters. If the contractor intends to utilize any subcontractors’ services, the subcontractors’ level of effort, tasks and time allocation must be clearly defined in the purchaser’s work order.</w:t>
      </w:r>
    </w:p>
    <w:p w14:paraId="259CC27C"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4.1.3 Equipment Requirements</w:t>
      </w:r>
    </w:p>
    <w:p w14:paraId="09DDC2AD"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The AVL-GPS equipment must meet the following requirements.</w:t>
      </w:r>
    </w:p>
    <w:p w14:paraId="1B822018"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Employ in-vehicle mobile data collection units.</w:t>
      </w:r>
    </w:p>
    <w:p w14:paraId="6A1609DD"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Must communicate with Force America Series 5100 and 6100 controllers.</w:t>
      </w:r>
    </w:p>
    <w:p w14:paraId="6A85589F"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Compliance with NTCIP standard 1204.</w:t>
      </w:r>
    </w:p>
    <w:p w14:paraId="18A5B6D6"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Solution must generate the following data:</w:t>
      </w:r>
    </w:p>
    <w:p w14:paraId="2863F8E0"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Vehicle identifier</w:t>
      </w:r>
    </w:p>
    <w:p w14:paraId="1E4F67A5"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Time</w:t>
      </w:r>
    </w:p>
    <w:p w14:paraId="6747D63E"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Location</w:t>
      </w:r>
    </w:p>
    <w:p w14:paraId="49F2F64B"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Maintenance data (plow position, underbody plow position, wing plow position, materials applied, application rate</w:t>
      </w:r>
    </w:p>
    <w:p w14:paraId="08DF790F"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Air/road surface temperature data.</w:t>
      </w:r>
    </w:p>
    <w:p w14:paraId="0033F7D0" w14:textId="77777777" w:rsidR="00F505FA" w:rsidRPr="00CB3BEF" w:rsidRDefault="00F505FA" w:rsidP="00F505FA">
      <w:pPr>
        <w:pStyle w:val="ListParagraph"/>
        <w:numPr>
          <w:ilvl w:val="0"/>
          <w:numId w:val="28"/>
        </w:numPr>
        <w:tabs>
          <w:tab w:val="clear" w:pos="284"/>
        </w:tabs>
        <w:autoSpaceDE w:val="0"/>
        <w:autoSpaceDN w:val="0"/>
        <w:adjustRightInd w:val="0"/>
        <w:spacing w:after="120" w:line="240" w:lineRule="auto"/>
        <w:ind w:left="2160"/>
        <w:rPr>
          <w:rFonts w:ascii="Calibri" w:hAnsi="Calibri" w:cs="Calibri"/>
          <w:color w:val="000000"/>
        </w:rPr>
      </w:pPr>
      <w:r w:rsidRPr="00CB3BEF">
        <w:rPr>
          <w:rFonts w:ascii="Calibri" w:hAnsi="Calibri" w:cs="Calibri"/>
          <w:color w:val="000000"/>
        </w:rPr>
        <w:t>Engine diagnostic data (including engine on/off, vehicle engine data (fault codes), vehicle odometer or hour meter, vehicle mileage, and vehicle idle time).</w:t>
      </w:r>
    </w:p>
    <w:p w14:paraId="64B6A55A"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Must transmit truck data to the vendor’s central data collection facility no less frequently than once per minute when the vehicle is within cellular coverage range.</w:t>
      </w:r>
    </w:p>
    <w:p w14:paraId="4DF24FC7"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The system must continue to record data regardless of whether or not it is in communications range. If the truck moves out of range for a period then reenters an area where communications are possible, all data collected during the period it was out of range must be sent back to the central collection point at that time.</w:t>
      </w:r>
    </w:p>
    <w:p w14:paraId="63EB649A"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Provide mapping and reporting information for each vehicle.</w:t>
      </w:r>
    </w:p>
    <w:p w14:paraId="587F4395"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Provide support and training, both on-site and remotely.</w:t>
      </w:r>
    </w:p>
    <w:p w14:paraId="25508A97"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Provide communications capability between the vehicle and the server.</w:t>
      </w:r>
    </w:p>
    <w:p w14:paraId="1DE18612"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Provide RS-232 serial connection, minimum of six (6) discrete inputs, J1939 and J1708 connections.</w:t>
      </w:r>
    </w:p>
    <w:p w14:paraId="6FE11164"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Must support at least 1 Gb flash memory for storage of data over extended periods of connectivity loss or 48 hours of observations whichever is greater.</w:t>
      </w:r>
    </w:p>
    <w:p w14:paraId="286513A7"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Provide capability for non-plow vehicles to use units that only provide location and speed data.</w:t>
      </w:r>
    </w:p>
    <w:p w14:paraId="48AFBDEA" w14:textId="77777777" w:rsidR="00F505FA" w:rsidRPr="00CB3BEF" w:rsidRDefault="00F505FA" w:rsidP="00F505FA">
      <w:pPr>
        <w:pStyle w:val="ListParagraph"/>
        <w:numPr>
          <w:ilvl w:val="0"/>
          <w:numId w:val="29"/>
        </w:numPr>
        <w:tabs>
          <w:tab w:val="clear" w:pos="284"/>
        </w:tabs>
        <w:autoSpaceDE w:val="0"/>
        <w:autoSpaceDN w:val="0"/>
        <w:adjustRightInd w:val="0"/>
        <w:spacing w:after="120" w:line="240" w:lineRule="auto"/>
        <w:ind w:left="1440"/>
        <w:rPr>
          <w:rFonts w:ascii="Calibri" w:hAnsi="Calibri" w:cs="Calibri"/>
          <w:color w:val="000000"/>
        </w:rPr>
      </w:pPr>
      <w:r w:rsidRPr="00CB3BEF">
        <w:rPr>
          <w:rFonts w:ascii="Calibri" w:hAnsi="Calibri" w:cs="Calibri"/>
          <w:color w:val="000000"/>
        </w:rPr>
        <w:t>Must support over-the-air firmware updates.</w:t>
      </w:r>
    </w:p>
    <w:p w14:paraId="1915A874"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lastRenderedPageBreak/>
        <w:t>4.2 Organization capabilities</w:t>
      </w:r>
    </w:p>
    <w:p w14:paraId="6EEC39F0"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Describe the organization/company's experience and capabilities providing similar services to those required. Be specific and detail no more than 5 projects/contracts: description of work, dates, locations, and results.</w:t>
      </w:r>
    </w:p>
    <w:p w14:paraId="7777972F"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4.3 Staff qualifications</w:t>
      </w:r>
    </w:p>
    <w:p w14:paraId="41EFCE99"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Identify key staff your organization/company will assign to fulfill the contract requirements. Detail who would be contract manager(s), etc. Provide synopses describing the educational and work experience for each of the key staff who would be assigned to the WisDOT project/program. Detail the number of hours for each key staff member that you estimate will be needed to fulfill the contract requirements.</w:t>
      </w:r>
    </w:p>
    <w:p w14:paraId="27D5AC69"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4.4 Proposer Solutions</w:t>
      </w:r>
    </w:p>
    <w:p w14:paraId="4B43F00A"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4.4.1 Describe your experience in working with Wisconsin’s 72 county highway departments.</w:t>
      </w:r>
    </w:p>
    <w:p w14:paraId="085C9CCF"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4.4.2 Provide URL, userid, and password to your AVL website for use in the evaluation process. Data need not be live, but the website must demonstrate all functionality being proposed.</w:t>
      </w:r>
    </w:p>
    <w:p w14:paraId="63F85743"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4.4.3 Program delivery – Provide a detailed work plan and timetable for replacement of all obsolete PreCise MRM AVL-GPS units.</w:t>
      </w:r>
    </w:p>
    <w:p w14:paraId="493889AB"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4.4.4 Detail how you will meet or exceed mandatory requirements. The proposal is required to address every mandatory requirement.</w:t>
      </w:r>
    </w:p>
    <w:p w14:paraId="19064748"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4.4.5 Define extended maintenance and warranties for all equipment proposed. No costs should be disclosed in any part of the technical response.</w:t>
      </w:r>
    </w:p>
    <w:p w14:paraId="20E946B0"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4.4.6 Detailed training plan</w:t>
      </w:r>
    </w:p>
    <w:p w14:paraId="304983E3"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Describe your training plan with respect to the following:</w:t>
      </w:r>
    </w:p>
    <w:p w14:paraId="0F556CEA" w14:textId="77777777" w:rsidR="00F505FA" w:rsidRDefault="00F505FA" w:rsidP="00F505FA">
      <w:pPr>
        <w:autoSpaceDE w:val="0"/>
        <w:autoSpaceDN w:val="0"/>
        <w:adjustRightInd w:val="0"/>
        <w:spacing w:after="120" w:line="240" w:lineRule="auto"/>
        <w:ind w:left="216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Equipment installation and maintenance</w:t>
      </w:r>
    </w:p>
    <w:p w14:paraId="5B40117E" w14:textId="77777777" w:rsidR="00F505FA" w:rsidRDefault="00F505FA" w:rsidP="00F505FA">
      <w:pPr>
        <w:autoSpaceDE w:val="0"/>
        <w:autoSpaceDN w:val="0"/>
        <w:adjustRightInd w:val="0"/>
        <w:spacing w:after="120" w:line="240" w:lineRule="auto"/>
        <w:ind w:left="216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Website features and use</w:t>
      </w:r>
    </w:p>
    <w:p w14:paraId="43EBE95D"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4.4.7 The AVL information collection, storage, and display system shall be designed, owned and operated by the vendor at a location of the vendor’s choice, outside of the State or purchaser’s network and accessible to the purchaser, the State and other agencies via the internet, using a standard web-browser (Internet Explorer/Microsoft Edge, Chrome, Firefox, or Safari). It must:</w:t>
      </w:r>
    </w:p>
    <w:p w14:paraId="4C645F6A"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a) Provide unlimited user logins at no additional cost.</w:t>
      </w:r>
    </w:p>
    <w:p w14:paraId="41AD3C0D"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b) Be in continuous operation 24 hours per day, 365 days per year and must be capable of handling year-end changes and daylight savings changes with minimal effort and effect.</w:t>
      </w:r>
    </w:p>
    <w:p w14:paraId="2DE590B2"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c) Provide for automatic recovery on any interface after any type of network failure. System must employ automatic data archival and backup without system interruption. The system must provide complete reporting and audit trail capabilities for all transactions, as required.</w:t>
      </w:r>
    </w:p>
    <w:p w14:paraId="5AECCB90"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d) Archive all data collected on behalf of the purchaser or State for a duration of 5 years. Historical data must be available for playback on a web site and be downloaded via text file or XML format.</w:t>
      </w:r>
    </w:p>
    <w:p w14:paraId="494A376B"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e) Include email and/or SMS text message notifications when a vehicle is due for preventive maintenance based on engine hour readings, mileage or both.</w:t>
      </w:r>
    </w:p>
    <w:p w14:paraId="3F3CD11F"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f) Provide user-configurable notifications for excess speeds, excess idle times, operation after normal operating hours, previous power loss, maintenance due and low battery voltage exceptions.</w:t>
      </w:r>
    </w:p>
    <w:p w14:paraId="1B2F7685"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g) Include a web services API to allow read only secured access for raw data retrieval for use in other database applications (such as GIS mapping or other customer uses).</w:t>
      </w:r>
    </w:p>
    <w:p w14:paraId="06E28125"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lastRenderedPageBreak/>
        <w:t>Describe your solution’s ability to meet the requirements listed above.</w:t>
      </w:r>
    </w:p>
    <w:p w14:paraId="3A811E17"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4.4.8 System must have the ability to provide reports exportable to Microsoft Excel. Describe how the proposed system meets this requirement.</w:t>
      </w:r>
    </w:p>
    <w:p w14:paraId="066C344C"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4.4.9 The system must integrate with any of the following types of controllers and the AVL modem. Any modification to the system is at the expense of the contractor. Describe your experience and ability to integrate with all of the following:</w:t>
      </w:r>
    </w:p>
    <w:p w14:paraId="001EF638"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Calibri" w:hAnsi="Calibri" w:cs="Calibri"/>
          <w:color w:val="000000"/>
        </w:rPr>
        <w:t>o. Dickey John</w:t>
      </w:r>
    </w:p>
    <w:p w14:paraId="3ED87512"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Calibri" w:hAnsi="Calibri" w:cs="Calibri"/>
          <w:color w:val="000000"/>
        </w:rPr>
        <w:t>p. Component Technology</w:t>
      </w:r>
    </w:p>
    <w:p w14:paraId="11100C42"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Calibri" w:hAnsi="Calibri" w:cs="Calibri"/>
          <w:color w:val="000000"/>
        </w:rPr>
        <w:t>q. Cirrus</w:t>
      </w:r>
    </w:p>
    <w:p w14:paraId="2FB3043D"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Calibri" w:hAnsi="Calibri" w:cs="Calibri"/>
          <w:color w:val="000000"/>
        </w:rPr>
        <w:t>r. Force America 5100/6100 series</w:t>
      </w:r>
    </w:p>
    <w:p w14:paraId="01B65DD9"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s. Monroe</w:t>
      </w:r>
    </w:p>
    <w:p w14:paraId="4C3AFE76"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4.4.10 Describe value-added solutions</w:t>
      </w:r>
    </w:p>
    <w:p w14:paraId="0E40CA4B"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Include any value-added items that are available as enhancements to your system, but are not necessary for a fully functioning system. Costs for these items should be included on the Price Sheet, Attachment E under the value-added section.</w:t>
      </w:r>
    </w:p>
    <w:p w14:paraId="669D460F"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Potential examples:</w:t>
      </w:r>
    </w:p>
    <w:p w14:paraId="3A958ABC" w14:textId="77777777" w:rsidR="00F505FA" w:rsidRPr="002A2493" w:rsidRDefault="00F505FA" w:rsidP="00F505FA">
      <w:pPr>
        <w:pStyle w:val="ListParagraph"/>
        <w:numPr>
          <w:ilvl w:val="0"/>
          <w:numId w:val="30"/>
        </w:numPr>
        <w:tabs>
          <w:tab w:val="clear" w:pos="284"/>
        </w:tabs>
        <w:autoSpaceDE w:val="0"/>
        <w:autoSpaceDN w:val="0"/>
        <w:adjustRightInd w:val="0"/>
        <w:spacing w:line="240" w:lineRule="auto"/>
        <w:rPr>
          <w:rFonts w:ascii="Calibri" w:hAnsi="Calibri" w:cs="Calibri"/>
          <w:color w:val="000000"/>
        </w:rPr>
      </w:pPr>
      <w:r w:rsidRPr="002A2493">
        <w:rPr>
          <w:rFonts w:ascii="Calibri" w:hAnsi="Calibri" w:cs="Calibri"/>
          <w:color w:val="000000"/>
        </w:rPr>
        <w:t>Mobile application. Contractor could provide a mobile application viewable on iOS and Android systems. The application could display current vehicle position, plow position, material application, and pavement/air temperature. The mobile application is not required to encompass the entire functionality of the website. Only the above information, plus a 4-hour trace of vehicle activity is necessary.</w:t>
      </w:r>
    </w:p>
    <w:p w14:paraId="15F82D9C" w14:textId="77777777" w:rsidR="00F505FA" w:rsidRPr="002A2493" w:rsidRDefault="00F505FA" w:rsidP="00F505FA">
      <w:pPr>
        <w:pStyle w:val="ListParagraph"/>
        <w:numPr>
          <w:ilvl w:val="0"/>
          <w:numId w:val="30"/>
        </w:numPr>
        <w:tabs>
          <w:tab w:val="clear" w:pos="284"/>
        </w:tabs>
        <w:autoSpaceDE w:val="0"/>
        <w:autoSpaceDN w:val="0"/>
        <w:adjustRightInd w:val="0"/>
        <w:spacing w:line="240" w:lineRule="auto"/>
        <w:rPr>
          <w:rFonts w:ascii="Calibri" w:hAnsi="Calibri" w:cs="Calibri"/>
          <w:color w:val="000000"/>
        </w:rPr>
      </w:pPr>
      <w:r w:rsidRPr="002A2493">
        <w:rPr>
          <w:rFonts w:ascii="Calibri" w:hAnsi="Calibri" w:cs="Calibri"/>
          <w:color w:val="000000"/>
        </w:rPr>
        <w:t>In-vehicle display. WisDOT desires an in-vehicle color touch screen display. It should be capable of displaying current weather information such as radar, as well as operational parameters such as application rate. It should allow the operator to make manual inputs such as road condition.</w:t>
      </w:r>
    </w:p>
    <w:p w14:paraId="6CFA6EF2" w14:textId="77777777" w:rsidR="00F505FA" w:rsidRPr="002A2493" w:rsidRDefault="00F505FA" w:rsidP="00F505FA">
      <w:pPr>
        <w:pStyle w:val="ListParagraph"/>
        <w:numPr>
          <w:ilvl w:val="0"/>
          <w:numId w:val="30"/>
        </w:numPr>
        <w:tabs>
          <w:tab w:val="clear" w:pos="284"/>
        </w:tabs>
        <w:autoSpaceDE w:val="0"/>
        <w:autoSpaceDN w:val="0"/>
        <w:adjustRightInd w:val="0"/>
        <w:spacing w:line="240" w:lineRule="auto"/>
        <w:rPr>
          <w:rFonts w:ascii="Calibri" w:hAnsi="Calibri" w:cs="Calibri"/>
          <w:color w:val="000000"/>
        </w:rPr>
      </w:pPr>
      <w:r w:rsidRPr="002A2493">
        <w:rPr>
          <w:rFonts w:ascii="Calibri" w:hAnsi="Calibri" w:cs="Calibri"/>
          <w:color w:val="000000"/>
        </w:rPr>
        <w:t>Cameras. WisDOT desires forward and/or rear facing cameras that would connect to the AVL-GPS controllers. The cameras would be capable of operating in low light conditions.</w:t>
      </w:r>
    </w:p>
    <w:p w14:paraId="5E7F195F" w14:textId="77777777" w:rsidR="00F505FA" w:rsidRDefault="00F505FA" w:rsidP="00F505FA">
      <w:pPr>
        <w:pStyle w:val="Default"/>
        <w:numPr>
          <w:ilvl w:val="0"/>
          <w:numId w:val="30"/>
        </w:numPr>
        <w:rPr>
          <w:sz w:val="22"/>
          <w:szCs w:val="22"/>
        </w:rPr>
      </w:pPr>
      <w:r>
        <w:rPr>
          <w:sz w:val="22"/>
          <w:szCs w:val="22"/>
        </w:rPr>
        <w:t xml:space="preserve">Capability to send messages and images to the vehicle as well as receive data and images from the vehicle when 2-way communication equipment is installed in vehicle. </w:t>
      </w:r>
    </w:p>
    <w:p w14:paraId="4CFD3B3C"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4.5 Proposer references</w:t>
      </w:r>
    </w:p>
    <w:p w14:paraId="29D651F4"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 xml:space="preserve">Proposer must include in their proposal a list of organizations and/or clients (but no more than 4) with whom the proposer has done business in the last 3 years similar to that required by this solicitation. At least two of these must be non-Wisconsin entities. Include points of contact (person’s name, company name, address, and telephone number) and a brief description of the project or assignment that was the basis for the business relationship. Completed Attachment B--References Sheet (attached) will be considered your response to this section. (NOTE: Potential subcontractors or DOT staff </w:t>
      </w:r>
      <w:r>
        <w:rPr>
          <w:rFonts w:ascii="Calibri,Bold" w:hAnsi="Calibri,Bold" w:cs="Calibri,Bold"/>
          <w:b/>
          <w:bCs/>
          <w:color w:val="000000"/>
        </w:rPr>
        <w:t xml:space="preserve">cannot </w:t>
      </w:r>
      <w:r>
        <w:rPr>
          <w:rFonts w:ascii="Calibri" w:hAnsi="Calibri" w:cs="Calibri"/>
          <w:color w:val="000000"/>
        </w:rPr>
        <w:t>be references.)</w:t>
      </w:r>
    </w:p>
    <w:p w14:paraId="1E12B95C"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The procuring agency will determine which, if any, references to contact and/or to visit to assess the quality of work performed, the personnel assigned to the project, and/or to see the product in use. The proposer will not be present during any reference checks or site visits. If contacted, all references must verify that a high level of satisfaction was provided. WisDOT may also utilize other pertinent sources of information regarding the services provided by the proposer.</w:t>
      </w:r>
    </w:p>
    <w:p w14:paraId="4F5DCF58" w14:textId="77777777" w:rsidR="00F505FA" w:rsidRDefault="00F505FA" w:rsidP="00F505FA">
      <w:pPr>
        <w:autoSpaceDE w:val="0"/>
        <w:autoSpaceDN w:val="0"/>
        <w:adjustRightInd w:val="0"/>
        <w:spacing w:after="120" w:line="240" w:lineRule="auto"/>
        <w:rPr>
          <w:rFonts w:ascii="Calibri" w:hAnsi="Calibri" w:cs="Calibri"/>
          <w:color w:val="000000"/>
        </w:rPr>
      </w:pPr>
    </w:p>
    <w:p w14:paraId="5CE84366" w14:textId="77777777" w:rsidR="00F505FA" w:rsidRDefault="00F505FA" w:rsidP="00F505FA">
      <w:pPr>
        <w:autoSpaceDE w:val="0"/>
        <w:autoSpaceDN w:val="0"/>
        <w:adjustRightInd w:val="0"/>
        <w:spacing w:before="240" w:line="240" w:lineRule="auto"/>
        <w:rPr>
          <w:rFonts w:ascii="Cambria,Bold" w:hAnsi="Cambria,Bold" w:cs="Cambria,Bold"/>
          <w:b/>
          <w:bCs/>
          <w:color w:val="365F92"/>
          <w:sz w:val="24"/>
          <w:szCs w:val="24"/>
        </w:rPr>
      </w:pPr>
      <w:r>
        <w:rPr>
          <w:rFonts w:ascii="Cambria,Bold" w:hAnsi="Cambria,Bold" w:cs="Cambria,Bold"/>
          <w:b/>
          <w:bCs/>
          <w:color w:val="000000"/>
          <w:sz w:val="24"/>
          <w:szCs w:val="24"/>
        </w:rPr>
        <w:t xml:space="preserve">5 </w:t>
      </w:r>
      <w:r>
        <w:rPr>
          <w:rFonts w:ascii="Cambria,Bold" w:hAnsi="Cambria,Bold" w:cs="Cambria,Bold"/>
          <w:b/>
          <w:bCs/>
          <w:color w:val="365F92"/>
          <w:sz w:val="24"/>
          <w:szCs w:val="24"/>
        </w:rPr>
        <w:t>CONTRACT REQUIREMENTS</w:t>
      </w:r>
    </w:p>
    <w:p w14:paraId="556E977D"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5.1 Contract requirements</w:t>
      </w:r>
    </w:p>
    <w:p w14:paraId="0EB684C8"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lastRenderedPageBreak/>
        <w:t>A) The Contractor is expected to furnish and install the following equipment within 30 days of receipt of a purchase order from a Wisconsin county highway department</w:t>
      </w:r>
    </w:p>
    <w:p w14:paraId="0B10B57D"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AVL-GPS control unit and associated cabling</w:t>
      </w:r>
    </w:p>
    <w:p w14:paraId="1B0F452B"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Air/pavement temperature sensor</w:t>
      </w:r>
    </w:p>
    <w:p w14:paraId="33DD4469"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Auger/gate sensor</w:t>
      </w:r>
    </w:p>
    <w:p w14:paraId="4A96360D" w14:textId="77777777" w:rsidR="00F505FA" w:rsidRDefault="00F505FA" w:rsidP="00F505FA">
      <w:pPr>
        <w:autoSpaceDE w:val="0"/>
        <w:autoSpaceDN w:val="0"/>
        <w:adjustRightInd w:val="0"/>
        <w:spacing w:line="240" w:lineRule="auto"/>
        <w:ind w:left="144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Plow sensor(s)</w:t>
      </w:r>
    </w:p>
    <w:p w14:paraId="7FA47C9E"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Symbol" w:hAnsi="Symbol" w:cs="Symbol"/>
          <w:color w:val="000000"/>
        </w:rPr>
        <w:t></w:t>
      </w:r>
      <w:r>
        <w:rPr>
          <w:rFonts w:ascii="Symbol" w:hAnsi="Symbol" w:cs="Symbol"/>
          <w:color w:val="000000"/>
        </w:rPr>
        <w:t></w:t>
      </w:r>
      <w:r>
        <w:rPr>
          <w:rFonts w:ascii="Calibri" w:hAnsi="Calibri" w:cs="Calibri"/>
          <w:color w:val="000000"/>
        </w:rPr>
        <w:t>Flow meter</w:t>
      </w:r>
    </w:p>
    <w:p w14:paraId="644DA8D1"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B) New equipment. Equipment offered in response to this RFP must be new equipment. New equipment means equipment that is currently in production by the manufacturer or a subcontractor and is the latest model, edition or version generally offered. The equipment must be warranted as new by the manufacturer and may not have been used for any purpose, other than display (not demonstration), prior to its sale to the purchaser.</w:t>
      </w:r>
    </w:p>
    <w:p w14:paraId="125237AA"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C) AVL-GPS unit. Features in this specification must be operational and in use by existing clients and may not be developed for the purpose of this order. References must be provided (see Section 4.2 and Attachment B).</w:t>
      </w:r>
    </w:p>
    <w:p w14:paraId="772E3126"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D) Cooperation with other contractors. The State and purchaser may already have in place or choose to award supplemental contracts for work related to this RFP, or any portion thereof. The State reserves the right to award the contract jointly between two or more potential contractors, if such an arrangement is in the best interest of the State and purchaser. The contractor shall agree to cooperate with such other contractors, and shall not commit or permit any act which may interfere with the performance of work by any other contractor.</w:t>
      </w:r>
    </w:p>
    <w:p w14:paraId="42206814"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E) Ownership of information and data. The State and purchaser (service provider) shall have the unlimited right to publish, duplicate, use and disclose all information and data developed or derived by the Contractor pursuant to this contract. The Contractor shall have no right to release any data without the express written consent of WisDOT. The Contractor must guarantee that it has the full legal right to the materials, supplies, equipment, and other items necessary to execute this contract. The contract price shall, without exception, include compensation for all royalties and costs arising from patents, trademarks and copyrights that are in any way involved in the contract. It shall be the responsibility of the contractor to pay for all royalties and costs, and the State and purchaser must be held harmless from any such claims.</w:t>
      </w:r>
    </w:p>
    <w:p w14:paraId="7045A90B"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5.3 Services</w:t>
      </w:r>
    </w:p>
    <w:p w14:paraId="3B730CC6"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Pursuant to WI State Statute 16.705, all services provided under this contract must be performed in the United States</w:t>
      </w:r>
    </w:p>
    <w:p w14:paraId="47BDD27C"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5.3.1 Program responsibilities.</w:t>
      </w:r>
    </w:p>
    <w:p w14:paraId="5840AE9F"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Contractor will manage the replacement of all existing PreCise MRM AVL-GPS control units as well as the installation of new AVL-GPS units and associated equipment.</w:t>
      </w:r>
    </w:p>
    <w:p w14:paraId="4477DFDB"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Contractor will provide a website for use by WisDOT and any county highway department employing AVL-GPS technology.</w:t>
      </w:r>
    </w:p>
    <w:p w14:paraId="45D3A315"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5.3.2 Minimum outputs, results, warranties, maintenance or service required.</w:t>
      </w:r>
    </w:p>
    <w:p w14:paraId="63244441"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All existing PreCise MRM sensors will be replaced no later than December 15, 2016. The contractor will, within two weeks of award, provide a replacement schedule to WisDOT BHM. Early emphasis should be given to northern counties.</w:t>
      </w:r>
    </w:p>
    <w:p w14:paraId="015B5379"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All equipment must come with a 3-year warranty against failure, with replacement of failed parts at no expense to WisDOT or a county highway department.</w:t>
      </w:r>
    </w:p>
    <w:p w14:paraId="279E04FA"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5.3.3 Reports required from the successful proposer. If appropriate, provide timetables that the proposer must meet.</w:t>
      </w:r>
    </w:p>
    <w:p w14:paraId="7431B140"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lastRenderedPageBreak/>
        <w:t>During the replacement of PreCise MRM units, the contractor will provide a monthly update no later than the third business day of the month outlining replacement progress. The report will include a county-by-county listing of how many units have been replaced and how many have yet to be installed.</w:t>
      </w:r>
    </w:p>
    <w:p w14:paraId="3169E611" w14:textId="77777777" w:rsidR="00F505FA" w:rsidRDefault="00F505FA" w:rsidP="00F505FA">
      <w:pPr>
        <w:autoSpaceDE w:val="0"/>
        <w:autoSpaceDN w:val="0"/>
        <w:adjustRightInd w:val="0"/>
        <w:spacing w:before="240" w:line="240" w:lineRule="auto"/>
        <w:ind w:left="720"/>
        <w:rPr>
          <w:rFonts w:ascii="Cambria,Bold" w:hAnsi="Cambria,Bold" w:cs="Cambria,Bold"/>
          <w:b/>
          <w:bCs/>
          <w:color w:val="4F82BE"/>
        </w:rPr>
      </w:pPr>
      <w:r>
        <w:rPr>
          <w:rFonts w:ascii="Cambria,Bold" w:hAnsi="Cambria,Bold" w:cs="Cambria,Bold"/>
          <w:b/>
          <w:bCs/>
          <w:color w:val="4F82BE"/>
        </w:rPr>
        <w:t>5.3.4 Equipment installation requirements.</w:t>
      </w:r>
    </w:p>
    <w:p w14:paraId="46ABD525" w14:textId="77777777" w:rsidR="00F505FA" w:rsidRDefault="00F505FA" w:rsidP="00F505FA">
      <w:pPr>
        <w:autoSpaceDE w:val="0"/>
        <w:autoSpaceDN w:val="0"/>
        <w:adjustRightInd w:val="0"/>
        <w:spacing w:after="120" w:line="240" w:lineRule="auto"/>
        <w:ind w:left="720"/>
        <w:rPr>
          <w:rFonts w:ascii="Calibri" w:hAnsi="Calibri" w:cs="Calibri"/>
          <w:color w:val="000000"/>
        </w:rPr>
      </w:pPr>
      <w:r>
        <w:rPr>
          <w:rFonts w:ascii="Calibri" w:hAnsi="Calibri" w:cs="Calibri"/>
          <w:color w:val="000000"/>
        </w:rPr>
        <w:t>County highway departments will perform installation of replacement units. Detailed instruction or a video are required. Complete instructions for setup of the units (including mapping the truck identifier with the specific AVL-GPS unit are required. For county highway departments procuring AVL-GPS equipment for the first time, the Contractor must provide onsite assistance.</w:t>
      </w:r>
    </w:p>
    <w:p w14:paraId="491CC468"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5.4 Subcontractors</w:t>
      </w:r>
    </w:p>
    <w:p w14:paraId="6FA7AD0F"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The Contractor shall be responsible for Contract performance when subcontractors are used. However, when subcontractors are used, they must abide by all terms and conditions of the Contract. If subcontractors are to be used, the Contractor must clearly explain their participation.</w:t>
      </w:r>
    </w:p>
    <w:p w14:paraId="0EA70C24" w14:textId="77777777" w:rsidR="00F505FA" w:rsidRDefault="00F505FA" w:rsidP="00F505FA">
      <w:pPr>
        <w:autoSpaceDE w:val="0"/>
        <w:autoSpaceDN w:val="0"/>
        <w:adjustRightInd w:val="0"/>
        <w:spacing w:before="240" w:line="240" w:lineRule="auto"/>
        <w:rPr>
          <w:rFonts w:ascii="Cambria,Bold" w:hAnsi="Cambria,Bold" w:cs="Cambria,Bold"/>
          <w:b/>
          <w:bCs/>
          <w:color w:val="365F92"/>
          <w:sz w:val="24"/>
          <w:szCs w:val="24"/>
        </w:rPr>
      </w:pPr>
      <w:r>
        <w:rPr>
          <w:rFonts w:ascii="Cambria,Bold" w:hAnsi="Cambria,Bold" w:cs="Cambria,Bold"/>
          <w:b/>
          <w:bCs/>
          <w:color w:val="000000"/>
          <w:sz w:val="24"/>
          <w:szCs w:val="24"/>
        </w:rPr>
        <w:t xml:space="preserve">6 </w:t>
      </w:r>
      <w:r>
        <w:rPr>
          <w:rFonts w:ascii="Cambria,Bold" w:hAnsi="Cambria,Bold" w:cs="Cambria,Bold"/>
          <w:b/>
          <w:bCs/>
          <w:color w:val="365F92"/>
          <w:sz w:val="24"/>
          <w:szCs w:val="24"/>
        </w:rPr>
        <w:t>COST PROPOSAL</w:t>
      </w:r>
    </w:p>
    <w:p w14:paraId="398985F0"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6.1 General instructions for the cost proposal and how it will be scored</w:t>
      </w:r>
    </w:p>
    <w:p w14:paraId="6BE41F40"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 xml:space="preserve">The cost proposal </w:t>
      </w:r>
      <w:r>
        <w:rPr>
          <w:rFonts w:ascii="Calibri,Bold" w:hAnsi="Calibri,Bold" w:cs="Calibri,Bold"/>
          <w:b/>
          <w:bCs/>
          <w:color w:val="000000"/>
        </w:rPr>
        <w:t xml:space="preserve">must </w:t>
      </w:r>
      <w:r>
        <w:rPr>
          <w:rFonts w:ascii="Calibri" w:hAnsi="Calibri" w:cs="Calibri"/>
          <w:color w:val="000000"/>
        </w:rPr>
        <w:t>be submitted in a separate envelope within the written proposal package. All prices must be quoted in U.S. Dollars.</w:t>
      </w:r>
    </w:p>
    <w:p w14:paraId="298FDD00"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The Purchasing Agent will score the cost proposals by prorating with the lowest cost proposal given the highest score. The formula is as follows: Calculation of points awarded to subsequent proposals will use the lowest dollar proposal amount as a constant numerator and the dollar amount of the firm being scored as the denominator. This number is then multiplied by the number of points given to the cost section of the RFP, resulting in the cost proposal score.</w:t>
      </w:r>
    </w:p>
    <w:p w14:paraId="0F1E217E" w14:textId="77777777" w:rsidR="00F505FA" w:rsidRPr="00F505FA" w:rsidRDefault="00F505FA" w:rsidP="00F505FA">
      <w:pPr>
        <w:autoSpaceDE w:val="0"/>
        <w:autoSpaceDN w:val="0"/>
        <w:adjustRightInd w:val="0"/>
        <w:spacing w:before="240" w:line="240" w:lineRule="auto"/>
        <w:rPr>
          <w:rFonts w:ascii="Cambria,Bold" w:hAnsi="Cambria,Bold" w:cs="Cambria,Bold"/>
          <w:b/>
          <w:bCs/>
          <w:color w:val="4F82BE"/>
          <w:szCs w:val="20"/>
        </w:rPr>
      </w:pPr>
      <w:r w:rsidRPr="00F505FA">
        <w:rPr>
          <w:rFonts w:ascii="Cambria,Bold" w:hAnsi="Cambria,Bold" w:cs="Cambria,Bold"/>
          <w:b/>
          <w:bCs/>
          <w:color w:val="4F82BE"/>
          <w:szCs w:val="20"/>
        </w:rPr>
        <w:t>6.2 Format for submitting cost proposal. Use Cost Proposal</w:t>
      </w:r>
    </w:p>
    <w:p w14:paraId="11F7A61C"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Submit one original plus one copy. Prices on the Cost Sheet should be inclusive, and include any transportation, travel, or other expenses necessary for the following items:</w:t>
      </w:r>
    </w:p>
    <w:p w14:paraId="64AC30A6"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a) Specific equipment, software (list items)</w:t>
      </w:r>
    </w:p>
    <w:p w14:paraId="3CD33E26"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a. AVL-GPS controller for snow plows</w:t>
      </w:r>
    </w:p>
    <w:p w14:paraId="0F041C96"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b. AVL-GPS controller for non-plow vehicles</w:t>
      </w:r>
    </w:p>
    <w:p w14:paraId="2BC965BC"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c. Plow position sensor</w:t>
      </w:r>
    </w:p>
    <w:p w14:paraId="68509C76"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d. Auger sensor</w:t>
      </w:r>
    </w:p>
    <w:p w14:paraId="778F396C"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e. Air/pavement temperature sensor</w:t>
      </w:r>
    </w:p>
    <w:p w14:paraId="4C9AED47"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b) Maintenance of equipment, software (5 year costs)</w:t>
      </w:r>
    </w:p>
    <w:p w14:paraId="6E8D9F2C"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c) Website license/maintenance (per year)</w:t>
      </w:r>
    </w:p>
    <w:p w14:paraId="4A2047C8"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d) Communications fees (per month)</w:t>
      </w:r>
    </w:p>
    <w:p w14:paraId="536E939B"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e) TOTAL COST</w:t>
      </w:r>
    </w:p>
    <w:p w14:paraId="542173E1" w14:textId="77777777" w:rsidR="00F505FA" w:rsidRDefault="00F505FA" w:rsidP="00F505FA">
      <w:pPr>
        <w:autoSpaceDE w:val="0"/>
        <w:autoSpaceDN w:val="0"/>
        <w:adjustRightInd w:val="0"/>
        <w:spacing w:line="240" w:lineRule="auto"/>
        <w:ind w:left="720"/>
        <w:rPr>
          <w:rFonts w:ascii="Calibri" w:hAnsi="Calibri" w:cs="Calibri"/>
          <w:color w:val="000000"/>
        </w:rPr>
      </w:pPr>
      <w:r>
        <w:rPr>
          <w:rFonts w:ascii="Calibri" w:hAnsi="Calibri" w:cs="Calibri"/>
          <w:color w:val="000000"/>
        </w:rPr>
        <w:t>f) Value Added Items (Not used in calculation of cost score)</w:t>
      </w:r>
    </w:p>
    <w:p w14:paraId="22675F06" w14:textId="77777777" w:rsidR="00F505FA" w:rsidRDefault="00F505FA" w:rsidP="00F505FA">
      <w:pPr>
        <w:autoSpaceDE w:val="0"/>
        <w:autoSpaceDN w:val="0"/>
        <w:adjustRightInd w:val="0"/>
        <w:spacing w:after="120" w:line="240" w:lineRule="auto"/>
        <w:ind w:left="1440"/>
        <w:rPr>
          <w:rFonts w:ascii="Calibri" w:hAnsi="Calibri" w:cs="Calibri"/>
          <w:color w:val="000000"/>
        </w:rPr>
      </w:pPr>
      <w:r>
        <w:rPr>
          <w:rFonts w:ascii="Calibri" w:hAnsi="Calibri" w:cs="Calibri"/>
          <w:color w:val="000000"/>
        </w:rPr>
        <w:t>Examples include In-vehicle touchscreen display, Cameras, etc.</w:t>
      </w:r>
    </w:p>
    <w:p w14:paraId="72B52C50"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WisDOT will NOT pay hourly labor rate for consultant travel time.</w:t>
      </w:r>
    </w:p>
    <w:p w14:paraId="2B71EFAD"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6.3 Fixed price period</w:t>
      </w:r>
    </w:p>
    <w:p w14:paraId="4D048801"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All prices, costs, and conditions outlined in the proposal shall remain fixed and valid for acceptance for ninety (90) days starting on the due date for proposals.</w:t>
      </w:r>
    </w:p>
    <w:p w14:paraId="41E26521" w14:textId="77777777" w:rsidR="00F505FA" w:rsidRDefault="00F505FA" w:rsidP="00F505FA">
      <w:pPr>
        <w:autoSpaceDE w:val="0"/>
        <w:autoSpaceDN w:val="0"/>
        <w:adjustRightInd w:val="0"/>
        <w:spacing w:after="120" w:line="240" w:lineRule="auto"/>
        <w:rPr>
          <w:rFonts w:ascii="Calibri" w:hAnsi="Calibri" w:cs="Calibri"/>
          <w:color w:val="000000"/>
        </w:rPr>
      </w:pPr>
      <w:r>
        <w:rPr>
          <w:rFonts w:ascii="Calibri" w:hAnsi="Calibri" w:cs="Calibri"/>
          <w:color w:val="000000"/>
        </w:rPr>
        <w:t>The awarded contractor must hold the accepted prices and/or costs for the entire contract period. Any adjustment to prices and/or costs at the beginning of a contract renewal period will be negotiated between WisDOT and the Contractor.</w:t>
      </w:r>
    </w:p>
    <w:p w14:paraId="254E89DE" w14:textId="77777777" w:rsidR="00F505FA" w:rsidRDefault="00F505FA" w:rsidP="00F505FA">
      <w:pPr>
        <w:autoSpaceDE w:val="0"/>
        <w:autoSpaceDN w:val="0"/>
        <w:adjustRightInd w:val="0"/>
        <w:spacing w:before="240" w:line="240" w:lineRule="auto"/>
        <w:rPr>
          <w:rFonts w:ascii="Cambria,Bold" w:hAnsi="Cambria,Bold" w:cs="Cambria,Bold"/>
          <w:b/>
          <w:bCs/>
          <w:color w:val="4F82BE"/>
        </w:rPr>
      </w:pPr>
      <w:r>
        <w:rPr>
          <w:rFonts w:ascii="Cambria,Bold" w:hAnsi="Cambria,Bold" w:cs="Cambria,Bold"/>
          <w:b/>
          <w:bCs/>
          <w:color w:val="4F82BE"/>
        </w:rPr>
        <w:t>6.4 Inflationary adjustment</w:t>
      </w:r>
    </w:p>
    <w:p w14:paraId="510BCC2F" w14:textId="77777777" w:rsidR="00F505FA" w:rsidRDefault="00F505FA" w:rsidP="00F505FA">
      <w:pPr>
        <w:autoSpaceDE w:val="0"/>
        <w:autoSpaceDN w:val="0"/>
        <w:adjustRightInd w:val="0"/>
        <w:spacing w:after="120" w:line="240" w:lineRule="auto"/>
      </w:pPr>
      <w:r>
        <w:rPr>
          <w:rFonts w:ascii="Calibri" w:hAnsi="Calibri" w:cs="Calibri"/>
          <w:color w:val="000000"/>
        </w:rPr>
        <w:lastRenderedPageBreak/>
        <w:t>The contractor may receive an inflationary adjustment to their base fee or hourly rate(s) at the start of each contract renewal period. This increase may be based on either (1) the increase in the prevailing Consumer Price Index for Urban Wage Earners (CPI-U) for Milwaukee, Wisconsin, in effect for the first half of the current year or the second half of the previous year (whichever is more current) OR (2) five percent (5%) of the current contractor’s base fee or hourly rate, whichever is lower.</w:t>
      </w:r>
    </w:p>
    <w:p w14:paraId="4CA50C4D" w14:textId="77777777" w:rsidR="00F505FA" w:rsidRPr="00F505FA" w:rsidRDefault="00F505FA" w:rsidP="00F505FA">
      <w:pPr>
        <w:pStyle w:val="BodyText"/>
      </w:pPr>
    </w:p>
    <w:sectPr w:rsidR="00F505FA" w:rsidRPr="00F505FA" w:rsidSect="00D129EC">
      <w:headerReference w:type="default" r:id="rId32"/>
      <w:footerReference w:type="default" r:id="rId33"/>
      <w:pgSz w:w="12240" w:h="15840"/>
      <w:pgMar w:top="1440" w:right="1440" w:bottom="1440" w:left="1440" w:header="720" w:footer="720"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9ED836" w14:textId="77777777" w:rsidR="00CA7219" w:rsidRDefault="00CA7219" w:rsidP="00253171">
      <w:pPr>
        <w:spacing w:line="240" w:lineRule="auto"/>
      </w:pPr>
      <w:r>
        <w:separator/>
      </w:r>
    </w:p>
  </w:endnote>
  <w:endnote w:type="continuationSeparator" w:id="0">
    <w:p w14:paraId="22807C43" w14:textId="77777777" w:rsidR="00CA7219" w:rsidRDefault="00CA7219" w:rsidP="0025317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mbria,Bold">
    <w:altName w:val="Cambria"/>
    <w:panose1 w:val="00000000000000000000"/>
    <w:charset w:val="00"/>
    <w:family w:val="swiss"/>
    <w:notTrueType/>
    <w:pitch w:val="default"/>
    <w:sig w:usb0="00000003" w:usb1="00000000" w:usb2="00000000" w:usb3="00000000" w:csb0="00000001" w:csb1="00000000"/>
  </w:font>
  <w:font w:name="Calibri,Bold">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63AF44" w14:textId="77777777" w:rsidR="000B74A0" w:rsidRDefault="000B74A0"/>
  <w:tbl>
    <w:tblPr>
      <w:tblStyle w:val="Plaingrid"/>
      <w:tblW w:w="5000" w:type="pct"/>
      <w:tblLook w:val="04A0" w:firstRow="1" w:lastRow="0" w:firstColumn="1" w:lastColumn="0" w:noHBand="0" w:noVBand="1"/>
    </w:tblPr>
    <w:tblGrid>
      <w:gridCol w:w="5810"/>
      <w:gridCol w:w="3550"/>
    </w:tblGrid>
    <w:tr w:rsidR="000B74A0" w14:paraId="02109989" w14:textId="77777777" w:rsidTr="000364E3">
      <w:tc>
        <w:tcPr>
          <w:tcW w:w="5670" w:type="dxa"/>
        </w:tcPr>
        <w:p w14:paraId="5C47686B" w14:textId="77777777" w:rsidR="000B74A0" w:rsidRDefault="000B74A0" w:rsidP="00C2143D">
          <w:pPr>
            <w:pStyle w:val="Footer"/>
          </w:pPr>
        </w:p>
      </w:tc>
      <w:tc>
        <w:tcPr>
          <w:tcW w:w="3464" w:type="dxa"/>
          <w:vAlign w:val="bottom"/>
        </w:tcPr>
        <w:p w14:paraId="3A7DAADC" w14:textId="77777777" w:rsidR="000B74A0" w:rsidRPr="00725883" w:rsidRDefault="000B74A0" w:rsidP="00F044DD">
          <w:pPr>
            <w:pStyle w:val="Footer"/>
            <w:jc w:val="right"/>
          </w:pPr>
        </w:p>
      </w:tc>
    </w:tr>
  </w:tbl>
  <w:p w14:paraId="51DEC78E" w14:textId="77777777" w:rsidR="000B74A0" w:rsidRDefault="000B74A0" w:rsidP="00493CF1">
    <w:pPr>
      <w:pStyle w:val="Footer"/>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sz w:val="18"/>
      </w:rPr>
      <w:id w:val="-481386685"/>
      <w:docPartObj>
        <w:docPartGallery w:val="Page Numbers (Bottom of Page)"/>
        <w:docPartUnique/>
      </w:docPartObj>
    </w:sdtPr>
    <w:sdtEndPr>
      <w:rPr>
        <w:noProof/>
      </w:rPr>
    </w:sdtEndPr>
    <w:sdtContent>
      <w:p w14:paraId="69F510C2" w14:textId="1EC96976" w:rsidR="000B74A0" w:rsidRPr="00D129EC" w:rsidRDefault="000B74A0">
        <w:pPr>
          <w:pStyle w:val="Footer"/>
          <w:jc w:val="center"/>
          <w:rPr>
            <w:sz w:val="18"/>
          </w:rPr>
        </w:pPr>
        <w:r w:rsidRPr="00D129EC">
          <w:rPr>
            <w:noProof w:val="0"/>
            <w:sz w:val="18"/>
          </w:rPr>
          <w:fldChar w:fldCharType="begin"/>
        </w:r>
        <w:r w:rsidRPr="00D129EC">
          <w:rPr>
            <w:sz w:val="18"/>
          </w:rPr>
          <w:instrText xml:space="preserve"> PAGE   \* MERGEFORMAT </w:instrText>
        </w:r>
        <w:r w:rsidRPr="00D129EC">
          <w:rPr>
            <w:noProof w:val="0"/>
            <w:sz w:val="18"/>
          </w:rPr>
          <w:fldChar w:fldCharType="separate"/>
        </w:r>
        <w:r w:rsidR="00654173">
          <w:rPr>
            <w:sz w:val="18"/>
          </w:rPr>
          <w:t>18</w:t>
        </w:r>
        <w:r w:rsidRPr="00D129EC">
          <w:rPr>
            <w:sz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33D30F" w14:textId="77777777" w:rsidR="00CA7219" w:rsidRPr="00253171" w:rsidRDefault="00CA7219" w:rsidP="00253171">
      <w:pPr>
        <w:spacing w:line="240" w:lineRule="auto"/>
        <w:rPr>
          <w:color w:val="00B5E2" w:themeColor="accent1"/>
        </w:rPr>
      </w:pPr>
      <w:r w:rsidRPr="00253171">
        <w:rPr>
          <w:color w:val="00B5E2" w:themeColor="accent1"/>
        </w:rPr>
        <w:separator/>
      </w:r>
      <w:r w:rsidRPr="00253171">
        <w:rPr>
          <w:color w:val="00B5E2" w:themeColor="accent1"/>
        </w:rPr>
        <w:separator/>
      </w:r>
    </w:p>
  </w:footnote>
  <w:footnote w:type="continuationSeparator" w:id="0">
    <w:p w14:paraId="6A83C77A" w14:textId="77777777" w:rsidR="00CA7219" w:rsidRPr="00253171" w:rsidRDefault="00CA7219" w:rsidP="00253171">
      <w:pPr>
        <w:spacing w:line="240" w:lineRule="auto"/>
        <w:rPr>
          <w:color w:val="00B5E2" w:themeColor="accent1"/>
        </w:rPr>
      </w:pPr>
      <w:r w:rsidRPr="00253171">
        <w:rPr>
          <w:color w:val="00B5E2" w:themeColor="accent1"/>
        </w:rPr>
        <w:separator/>
      </w:r>
      <w:r w:rsidRPr="00253171">
        <w:rPr>
          <w:color w:val="00B5E2" w:themeColor="accent1"/>
        </w:rPr>
        <w:separator/>
      </w:r>
    </w:p>
  </w:footnote>
  <w:footnote w:id="1">
    <w:p w14:paraId="598294C5" w14:textId="77777777" w:rsidR="000B74A0" w:rsidRDefault="000B74A0">
      <w:pPr>
        <w:pStyle w:val="FootnoteText"/>
      </w:pPr>
      <w:r>
        <w:rPr>
          <w:rStyle w:val="FootnoteReference"/>
        </w:rPr>
        <w:footnoteRef/>
      </w:r>
      <w:r>
        <w:t xml:space="preserve"> WisDOT 2016-2017 Annual Winter Maintenance Report.  Available at: </w:t>
      </w:r>
      <w:hyperlink r:id="rId1" w:history="1">
        <w:r w:rsidRPr="00C82B26">
          <w:rPr>
            <w:rStyle w:val="Hyperlink"/>
          </w:rPr>
          <w:t>http://wisconsindot.gov/Documents/doing-bus/local-gov/hwy-mnt/winter-maintenance/workers/2016-2017annualreport.pdf</w:t>
        </w:r>
      </w:hyperlink>
      <w:r>
        <w:t xml:space="preserve"> </w:t>
      </w:r>
    </w:p>
  </w:footnote>
  <w:footnote w:id="2">
    <w:p w14:paraId="00DA8273" w14:textId="679B2521" w:rsidR="000B74A0" w:rsidRDefault="000B74A0" w:rsidP="00CB3DAD">
      <w:pPr>
        <w:pStyle w:val="FootnoteText"/>
      </w:pPr>
      <w:r>
        <w:rPr>
          <w:rStyle w:val="FootnoteReference"/>
        </w:rPr>
        <w:footnoteRef/>
      </w:r>
      <w:r>
        <w:t xml:space="preserve"> Evaluation of Performance of Automatic Vehicle Location and TowPlow for Winter Maintenance Operations in Wisconsin.  </w:t>
      </w:r>
      <w:r w:rsidRPr="00CB3DAD">
        <w:rPr>
          <w:i/>
        </w:rPr>
        <w:t>Transportation Research Record: Journal of the Transportation Research Board, No. 2272</w:t>
      </w:r>
      <w:r>
        <w:t xml:space="preserve">, Transportation Research Board of the National Academies, Washington, D.C., 2012, pp. 136–143.  Available at: </w:t>
      </w:r>
      <w:hyperlink r:id="rId2" w:history="1">
        <w:r w:rsidRPr="004B1346">
          <w:rPr>
            <w:rStyle w:val="Hyperlink"/>
          </w:rPr>
          <w:t>https://trrjournalonline.trb.org/doi/abs/10.3141/2272-16</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Plaingrid"/>
      <w:tblW w:w="3325" w:type="pct"/>
      <w:tblLook w:val="04A0" w:firstRow="1" w:lastRow="0" w:firstColumn="1" w:lastColumn="0" w:noHBand="0" w:noVBand="1"/>
    </w:tblPr>
    <w:tblGrid>
      <w:gridCol w:w="3110"/>
      <w:gridCol w:w="3114"/>
    </w:tblGrid>
    <w:tr w:rsidR="000B74A0" w14:paraId="2BB1DA60" w14:textId="77777777" w:rsidTr="00992802">
      <w:trPr>
        <w:trHeight w:val="460"/>
      </w:trPr>
      <w:tc>
        <w:tcPr>
          <w:tcW w:w="3110" w:type="dxa"/>
        </w:tcPr>
        <w:p w14:paraId="552A76AA" w14:textId="77777777" w:rsidR="000B74A0" w:rsidRDefault="000B74A0">
          <w:pPr>
            <w:pStyle w:val="Header"/>
          </w:pPr>
        </w:p>
      </w:tc>
      <w:tc>
        <w:tcPr>
          <w:tcW w:w="3114" w:type="dxa"/>
        </w:tcPr>
        <w:p w14:paraId="69C54D07" w14:textId="1F982BC3" w:rsidR="000B74A0" w:rsidRDefault="00CA7219" w:rsidP="00904014">
          <w:pPr>
            <w:pStyle w:val="Header"/>
            <w:tabs>
              <w:tab w:val="left" w:pos="2132"/>
            </w:tabs>
            <w:jc w:val="right"/>
          </w:pPr>
          <w:r>
            <w:fldChar w:fldCharType="begin"/>
          </w:r>
          <w:r>
            <w:instrText xml:space="preserve"> DOCPROPERTY  HeaderClient \* MERGEFORMAT </w:instrText>
          </w:r>
          <w:r>
            <w:fldChar w:fldCharType="separate"/>
          </w:r>
          <w:r w:rsidR="00E16E42">
            <w:t xml:space="preserve"> </w:t>
          </w:r>
          <w:r>
            <w:fldChar w:fldCharType="end"/>
          </w:r>
        </w:p>
        <w:p w14:paraId="5128F7A8" w14:textId="77777777" w:rsidR="000B74A0" w:rsidRDefault="000B74A0" w:rsidP="00F97D16">
          <w:pPr>
            <w:pStyle w:val="Header"/>
            <w:jc w:val="right"/>
          </w:pPr>
        </w:p>
      </w:tc>
    </w:tr>
  </w:tbl>
  <w:p w14:paraId="61134F64" w14:textId="77777777" w:rsidR="000B74A0" w:rsidRDefault="000B74A0" w:rsidP="00472BD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9DAD06" w14:textId="39AEFAC3" w:rsidR="000B74A0" w:rsidRPr="00D129EC" w:rsidRDefault="000B74A0" w:rsidP="00D129EC">
    <w:pPr>
      <w:pStyle w:val="Header"/>
      <w:tabs>
        <w:tab w:val="clear" w:pos="4513"/>
        <w:tab w:val="clear" w:pos="9026"/>
        <w:tab w:val="right" w:pos="9360"/>
      </w:tabs>
      <w:rPr>
        <w:sz w:val="18"/>
      </w:rPr>
    </w:pPr>
    <w:r>
      <w:rPr>
        <w:sz w:val="18"/>
      </w:rPr>
      <w:t>Utilization of AVL/GPS Technology Case Study: Wisconsin DOT</w:t>
    </w:r>
    <w:r>
      <w:rPr>
        <w:sz w:val="18"/>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8B7A69D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A6EAF11E"/>
    <w:lvl w:ilvl="0">
      <w:start w:val="1"/>
      <w:numFmt w:val="decimal"/>
      <w:pStyle w:val="ListNumber4"/>
      <w:lvlText w:val="%1."/>
      <w:lvlJc w:val="left"/>
      <w:pPr>
        <w:tabs>
          <w:tab w:val="num" w:pos="1209"/>
        </w:tabs>
        <w:ind w:left="1209" w:hanging="360"/>
      </w:pPr>
    </w:lvl>
  </w:abstractNum>
  <w:abstractNum w:abstractNumId="2" w15:restartNumberingAfterBreak="0">
    <w:nsid w:val="FFFFFF80"/>
    <w:multiLevelType w:val="singleLevel"/>
    <w:tmpl w:val="181A1024"/>
    <w:lvl w:ilvl="0">
      <w:start w:val="1"/>
      <w:numFmt w:val="bullet"/>
      <w:pStyle w:val="ListBullet5"/>
      <w:lvlText w:val=""/>
      <w:lvlJc w:val="left"/>
      <w:pPr>
        <w:tabs>
          <w:tab w:val="num" w:pos="1492"/>
        </w:tabs>
        <w:ind w:left="1492" w:hanging="360"/>
      </w:pPr>
      <w:rPr>
        <w:rFonts w:ascii="Symbol" w:hAnsi="Symbol" w:hint="default"/>
      </w:rPr>
    </w:lvl>
  </w:abstractNum>
  <w:abstractNum w:abstractNumId="3" w15:restartNumberingAfterBreak="0">
    <w:nsid w:val="FFFFFF81"/>
    <w:multiLevelType w:val="singleLevel"/>
    <w:tmpl w:val="DADEFE72"/>
    <w:lvl w:ilvl="0">
      <w:start w:val="1"/>
      <w:numFmt w:val="bullet"/>
      <w:pStyle w:val="ListBullet4"/>
      <w:lvlText w:val=""/>
      <w:lvlJc w:val="left"/>
      <w:pPr>
        <w:tabs>
          <w:tab w:val="num" w:pos="1209"/>
        </w:tabs>
        <w:ind w:left="1209" w:hanging="360"/>
      </w:pPr>
      <w:rPr>
        <w:rFonts w:ascii="Symbol" w:hAnsi="Symbol" w:hint="default"/>
      </w:rPr>
    </w:lvl>
  </w:abstractNum>
  <w:abstractNum w:abstractNumId="4" w15:restartNumberingAfterBreak="0">
    <w:nsid w:val="06DD69E9"/>
    <w:multiLevelType w:val="multilevel"/>
    <w:tmpl w:val="BA1EA5F4"/>
    <w:lvl w:ilvl="0">
      <w:start w:val="1"/>
      <w:numFmt w:val="decimal"/>
      <w:lvlRestart w:val="0"/>
      <w:pStyle w:val="Heading1"/>
      <w:lvlText w:val="%1."/>
      <w:lvlJc w:val="left"/>
      <w:pPr>
        <w:ind w:left="850" w:hanging="850"/>
      </w:pPr>
      <w:rPr>
        <w:rFonts w:hint="default"/>
      </w:rPr>
    </w:lvl>
    <w:lvl w:ilvl="1">
      <w:start w:val="1"/>
      <w:numFmt w:val="decimal"/>
      <w:pStyle w:val="Heading2"/>
      <w:lvlText w:val="%1.%2"/>
      <w:lvlJc w:val="left"/>
      <w:pPr>
        <w:ind w:left="850" w:hanging="850"/>
      </w:pPr>
      <w:rPr>
        <w:rFonts w:hint="default"/>
      </w:rPr>
    </w:lvl>
    <w:lvl w:ilvl="2">
      <w:start w:val="1"/>
      <w:numFmt w:val="decimal"/>
      <w:pStyle w:val="Heading3"/>
      <w:lvlText w:val="%1.%2.%3"/>
      <w:lvlJc w:val="left"/>
      <w:pPr>
        <w:ind w:left="850" w:hanging="850"/>
      </w:pPr>
      <w:rPr>
        <w:rFonts w:hint="default"/>
      </w:rPr>
    </w:lvl>
    <w:lvl w:ilvl="3">
      <w:start w:val="1"/>
      <w:numFmt w:val="decimal"/>
      <w:pStyle w:val="Heading4"/>
      <w:lvlText w:val="%1.%2.%3.%4"/>
      <w:lvlJc w:val="left"/>
      <w:pPr>
        <w:ind w:left="850" w:hanging="850"/>
      </w:pPr>
      <w:rPr>
        <w:rFonts w:hint="default"/>
      </w:rPr>
    </w:lvl>
    <w:lvl w:ilvl="4">
      <w:start w:val="1"/>
      <w:numFmt w:val="decimal"/>
      <w:pStyle w:val="Heading5"/>
      <w:lvlText w:val="%1.%2.%3.%4.%5"/>
      <w:lvlJc w:val="left"/>
      <w:pPr>
        <w:ind w:left="850" w:hanging="850"/>
      </w:pPr>
      <w:rPr>
        <w:rFonts w:hint="default"/>
      </w:rPr>
    </w:lvl>
    <w:lvl w:ilvl="5">
      <w:start w:val="1"/>
      <w:numFmt w:val="decimal"/>
      <w:pStyle w:val="Heading6"/>
      <w:lvlText w:val="%1.%2.%3.%4.%5.%6"/>
      <w:lvlJc w:val="left"/>
      <w:pPr>
        <w:ind w:left="850" w:hanging="850"/>
      </w:pPr>
      <w:rPr>
        <w:rFonts w:hint="default"/>
      </w:rPr>
    </w:lvl>
    <w:lvl w:ilvl="6">
      <w:start w:val="1"/>
      <w:numFmt w:val="none"/>
      <w:pStyle w:val="Heading7"/>
      <w:lvlText w:val=""/>
      <w:lvlJc w:val="left"/>
      <w:pPr>
        <w:ind w:left="850" w:hanging="850"/>
      </w:pPr>
      <w:rPr>
        <w:rFonts w:hint="default"/>
      </w:rPr>
    </w:lvl>
    <w:lvl w:ilvl="7">
      <w:start w:val="1"/>
      <w:numFmt w:val="lowerLetter"/>
      <w:pStyle w:val="Heading8"/>
      <w:lvlText w:val="%8."/>
      <w:lvlJc w:val="left"/>
      <w:pPr>
        <w:ind w:left="850" w:hanging="850"/>
      </w:pPr>
      <w:rPr>
        <w:rFonts w:hint="default"/>
      </w:rPr>
    </w:lvl>
    <w:lvl w:ilvl="8">
      <w:start w:val="1"/>
      <w:numFmt w:val="lowerRoman"/>
      <w:pStyle w:val="Heading9"/>
      <w:lvlText w:val="%9."/>
      <w:lvlJc w:val="left"/>
      <w:pPr>
        <w:ind w:left="850" w:hanging="850"/>
      </w:pPr>
      <w:rPr>
        <w:rFonts w:hint="default"/>
      </w:rPr>
    </w:lvl>
  </w:abstractNum>
  <w:abstractNum w:abstractNumId="5" w15:restartNumberingAfterBreak="0">
    <w:nsid w:val="08AB481A"/>
    <w:multiLevelType w:val="multilevel"/>
    <w:tmpl w:val="22544628"/>
    <w:styleLink w:val="AECOMNumbering"/>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6" w15:restartNumberingAfterBreak="0">
    <w:nsid w:val="0E406F3E"/>
    <w:multiLevelType w:val="multilevel"/>
    <w:tmpl w:val="1F30E436"/>
    <w:styleLink w:val="AECOMSectionnumbering"/>
    <w:lvl w:ilvl="0">
      <w:start w:val="1"/>
      <w:numFmt w:val="decimalZero"/>
      <w:lvlText w:val="%1"/>
      <w:lvlJc w:val="left"/>
      <w:pPr>
        <w:ind w:left="1134" w:hanging="1134"/>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167718EF"/>
    <w:multiLevelType w:val="hybridMultilevel"/>
    <w:tmpl w:val="8FD2CF50"/>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192A26E9"/>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9" w15:restartNumberingAfterBreak="0">
    <w:nsid w:val="1A8B00A2"/>
    <w:multiLevelType w:val="multilevel"/>
    <w:tmpl w:val="DB3C37A8"/>
    <w:name w:val="AECOM Outline numbering"/>
    <w:styleLink w:val="AECOMAppendix"/>
    <w:lvl w:ilvl="0">
      <w:start w:val="1"/>
      <w:numFmt w:val="upperLetter"/>
      <w:suff w:val="nothing"/>
      <w:lvlText w:val="Appendix %1  "/>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219503E0"/>
    <w:multiLevelType w:val="hybridMultilevel"/>
    <w:tmpl w:val="C248F7F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228325AB"/>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A0118C5"/>
    <w:multiLevelType w:val="multilevel"/>
    <w:tmpl w:val="DC22BBC8"/>
    <w:styleLink w:val="AECOMTableBullets"/>
    <w:lvl w:ilvl="0">
      <w:start w:val="1"/>
      <w:numFmt w:val="bullet"/>
      <w:lvlText w:val=""/>
      <w:lvlJc w:val="left"/>
      <w:pPr>
        <w:ind w:left="284" w:hanging="284"/>
      </w:pPr>
      <w:rPr>
        <w:rFonts w:ascii="Symbol" w:hAnsi="Symbol" w:hint="default"/>
        <w:color w:val="auto"/>
      </w:rPr>
    </w:lvl>
    <w:lvl w:ilvl="1">
      <w:start w:val="1"/>
      <w:numFmt w:val="bullet"/>
      <w:lvlText w:val="─"/>
      <w:lvlJc w:val="left"/>
      <w:pPr>
        <w:ind w:left="568" w:hanging="284"/>
      </w:pPr>
      <w:rPr>
        <w:rFonts w:ascii="Calibri" w:hAnsi="Calibri" w:hint="default"/>
        <w:color w:val="auto"/>
      </w:rPr>
    </w:lvl>
    <w:lvl w:ilvl="2">
      <w:start w:val="1"/>
      <w:numFmt w:val="bullet"/>
      <w:lvlText w:val="o"/>
      <w:lvlJc w:val="left"/>
      <w:pPr>
        <w:ind w:left="852" w:hanging="284"/>
      </w:pPr>
      <w:rPr>
        <w:rFonts w:ascii="Courier New" w:hAnsi="Courier New" w:hint="default"/>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Calibri" w:hAnsi="Calibri" w:hint="default"/>
        <w:color w:val="auto"/>
      </w:rPr>
    </w:lvl>
    <w:lvl w:ilvl="5">
      <w:start w:val="1"/>
      <w:numFmt w:val="bullet"/>
      <w:lvlText w:val="o"/>
      <w:lvlJc w:val="left"/>
      <w:pPr>
        <w:ind w:left="1704" w:hanging="284"/>
      </w:pPr>
      <w:rPr>
        <w:rFonts w:ascii="Courier New" w:hAnsi="Courier New" w:hint="default"/>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Calibri" w:hAnsi="Calibri" w:hint="default"/>
        <w:color w:val="auto"/>
      </w:rPr>
    </w:lvl>
    <w:lvl w:ilvl="8">
      <w:start w:val="1"/>
      <w:numFmt w:val="bullet"/>
      <w:lvlText w:val="o"/>
      <w:lvlJc w:val="left"/>
      <w:pPr>
        <w:ind w:left="2556" w:hanging="284"/>
      </w:pPr>
      <w:rPr>
        <w:rFonts w:ascii="Courier New" w:hAnsi="Courier New" w:hint="default"/>
      </w:rPr>
    </w:lvl>
  </w:abstractNum>
  <w:abstractNum w:abstractNumId="13" w15:restartNumberingAfterBreak="0">
    <w:nsid w:val="3754570F"/>
    <w:multiLevelType w:val="multilevel"/>
    <w:tmpl w:val="D5384B6E"/>
    <w:name w:val="AECOM Outline numbering3"/>
    <w:lvl w:ilvl="0">
      <w:start w:val="1"/>
      <w:numFmt w:val="upperLetter"/>
      <w:suff w:val="space"/>
      <w:lvlText w:val="Appendix %1"/>
      <w:lvlJc w:val="left"/>
      <w:pPr>
        <w:ind w:left="0" w:firstLine="0"/>
      </w:pPr>
      <w:rPr>
        <w:rFonts w:hint="default"/>
      </w:rPr>
    </w:lvl>
    <w:lvl w:ilvl="1">
      <w:start w:val="1"/>
      <w:numFmt w:val="decimal"/>
      <w:lvlText w:val="%1.%2"/>
      <w:lvlJc w:val="left"/>
      <w:pPr>
        <w:ind w:left="357" w:hanging="35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3A383484"/>
    <w:multiLevelType w:val="multilevel"/>
    <w:tmpl w:val="60B68AA8"/>
    <w:styleLink w:val="AECOMTableNumbering"/>
    <w:lvl w:ilvl="0">
      <w:start w:val="1"/>
      <w:numFmt w:val="decimal"/>
      <w:pStyle w:val="TableListNumber"/>
      <w:lvlText w:val="%1."/>
      <w:lvlJc w:val="left"/>
      <w:pPr>
        <w:ind w:left="284" w:hanging="284"/>
      </w:pPr>
      <w:rPr>
        <w:rFonts w:hint="default"/>
      </w:rPr>
    </w:lvl>
    <w:lvl w:ilvl="1">
      <w:start w:val="1"/>
      <w:numFmt w:val="lowerLetter"/>
      <w:pStyle w:val="TableListNumber2"/>
      <w:lvlText w:val="%2."/>
      <w:lvlJc w:val="left"/>
      <w:pPr>
        <w:ind w:left="568" w:hanging="284"/>
      </w:pPr>
      <w:rPr>
        <w:rFonts w:hint="default"/>
      </w:rPr>
    </w:lvl>
    <w:lvl w:ilvl="2">
      <w:start w:val="1"/>
      <w:numFmt w:val="lowerRoman"/>
      <w:pStyle w:val="TableListNumber3"/>
      <w:lvlText w:val="%3."/>
      <w:lvlJc w:val="left"/>
      <w:pPr>
        <w:ind w:left="852" w:hanging="284"/>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15" w15:restartNumberingAfterBreak="0">
    <w:nsid w:val="3E323A9C"/>
    <w:multiLevelType w:val="hybridMultilevel"/>
    <w:tmpl w:val="6C3481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4644573A"/>
    <w:multiLevelType w:val="multilevel"/>
    <w:tmpl w:val="3F9A613A"/>
    <w:styleLink w:val="AECOMBullets"/>
    <w:lvl w:ilvl="0">
      <w:start w:val="1"/>
      <w:numFmt w:val="bullet"/>
      <w:lvlText w:val=""/>
      <w:lvlJc w:val="left"/>
      <w:pPr>
        <w:ind w:left="284" w:hanging="284"/>
      </w:pPr>
      <w:rPr>
        <w:rFonts w:ascii="Symbol" w:hAnsi="Symbol" w:hint="default"/>
        <w:color w:val="auto"/>
      </w:rPr>
    </w:lvl>
    <w:lvl w:ilvl="1">
      <w:start w:val="1"/>
      <w:numFmt w:val="bullet"/>
      <w:lvlText w:val="o"/>
      <w:lvlJc w:val="left"/>
      <w:pPr>
        <w:ind w:left="568" w:hanging="284"/>
      </w:pPr>
      <w:rPr>
        <w:rFonts w:ascii="Courier New" w:hAnsi="Courier New" w:hint="default"/>
        <w:color w:val="auto"/>
      </w:rPr>
    </w:lvl>
    <w:lvl w:ilvl="2">
      <w:start w:val="1"/>
      <w:numFmt w:val="bullet"/>
      <w:lvlText w:val="─"/>
      <w:lvlJc w:val="left"/>
      <w:pPr>
        <w:ind w:left="852" w:hanging="284"/>
      </w:pPr>
      <w:rPr>
        <w:rFonts w:ascii="Calibri" w:hAnsi="Calibri" w:hint="default"/>
        <w:color w:val="auto"/>
      </w:rPr>
    </w:lvl>
    <w:lvl w:ilvl="3">
      <w:start w:val="1"/>
      <w:numFmt w:val="bullet"/>
      <w:lvlText w:val=""/>
      <w:lvlJc w:val="left"/>
      <w:pPr>
        <w:ind w:left="1136" w:hanging="284"/>
      </w:pPr>
      <w:rPr>
        <w:rFonts w:ascii="Symbol" w:hAnsi="Symbol" w:hint="default"/>
      </w:rPr>
    </w:lvl>
    <w:lvl w:ilvl="4">
      <w:start w:val="1"/>
      <w:numFmt w:val="bullet"/>
      <w:lvlText w:val="o"/>
      <w:lvlJc w:val="left"/>
      <w:pPr>
        <w:ind w:left="1420" w:hanging="284"/>
      </w:pPr>
      <w:rPr>
        <w:rFonts w:ascii="Courier New" w:hAnsi="Courier New" w:hint="default"/>
      </w:rPr>
    </w:lvl>
    <w:lvl w:ilvl="5">
      <w:start w:val="1"/>
      <w:numFmt w:val="bullet"/>
      <w:lvlText w:val=""/>
      <w:lvlJc w:val="left"/>
      <w:pPr>
        <w:tabs>
          <w:tab w:val="num" w:pos="2346"/>
        </w:tabs>
        <w:ind w:left="1704" w:hanging="284"/>
      </w:pPr>
      <w:rPr>
        <w:rFonts w:ascii="Wingdings" w:hAnsi="Wingdings" w:hint="default"/>
      </w:rPr>
    </w:lvl>
    <w:lvl w:ilvl="6">
      <w:start w:val="1"/>
      <w:numFmt w:val="bullet"/>
      <w:lvlText w:val=""/>
      <w:lvlJc w:val="left"/>
      <w:pPr>
        <w:tabs>
          <w:tab w:val="num" w:pos="2630"/>
        </w:tabs>
        <w:ind w:left="1988" w:hanging="284"/>
      </w:pPr>
      <w:rPr>
        <w:rFonts w:ascii="Symbol" w:hAnsi="Symbol" w:hint="default"/>
      </w:rPr>
    </w:lvl>
    <w:lvl w:ilvl="7">
      <w:start w:val="1"/>
      <w:numFmt w:val="bullet"/>
      <w:lvlText w:val="o"/>
      <w:lvlJc w:val="left"/>
      <w:pPr>
        <w:tabs>
          <w:tab w:val="num" w:pos="2914"/>
        </w:tabs>
        <w:ind w:left="2272" w:hanging="284"/>
      </w:pPr>
      <w:rPr>
        <w:rFonts w:ascii="Courier New" w:hAnsi="Courier New" w:cs="Courier New" w:hint="default"/>
      </w:rPr>
    </w:lvl>
    <w:lvl w:ilvl="8">
      <w:start w:val="1"/>
      <w:numFmt w:val="bullet"/>
      <w:lvlText w:val=""/>
      <w:lvlJc w:val="left"/>
      <w:pPr>
        <w:tabs>
          <w:tab w:val="num" w:pos="3198"/>
        </w:tabs>
        <w:ind w:left="2556" w:hanging="284"/>
      </w:pPr>
      <w:rPr>
        <w:rFonts w:ascii="Wingdings" w:hAnsi="Wingdings" w:hint="default"/>
      </w:rPr>
    </w:lvl>
  </w:abstractNum>
  <w:abstractNum w:abstractNumId="17" w15:restartNumberingAfterBreak="0">
    <w:nsid w:val="47EF6ADC"/>
    <w:multiLevelType w:val="hybridMultilevel"/>
    <w:tmpl w:val="A216B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D0C0132"/>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4E1549B9"/>
    <w:multiLevelType w:val="multilevel"/>
    <w:tmpl w:val="A4EC5F26"/>
    <w:lvl w:ilvl="0">
      <w:start w:val="1"/>
      <w:numFmt w:val="upperLetter"/>
      <w:pStyle w:val="Appendix"/>
      <w:suff w:val="space"/>
      <w:lvlText w:val="Appendix %1"/>
      <w:lvlJc w:val="left"/>
      <w:pPr>
        <w:ind w:left="0" w:firstLine="0"/>
      </w:pPr>
      <w:rPr>
        <w:rFonts w:hint="default"/>
      </w:rPr>
    </w:lvl>
    <w:lvl w:ilvl="1">
      <w:start w:val="1"/>
      <w:numFmt w:val="decimal"/>
      <w:pStyle w:val="Appendixheading2"/>
      <w:lvlText w:val="%1.%2"/>
      <w:lvlJc w:val="left"/>
      <w:pPr>
        <w:ind w:left="720" w:hanging="72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F926A09"/>
    <w:multiLevelType w:val="multilevel"/>
    <w:tmpl w:val="99F01D82"/>
    <w:lvl w:ilvl="0">
      <w:start w:val="1"/>
      <w:numFmt w:val="bullet"/>
      <w:pStyle w:val="TableListBullet"/>
      <w:lvlText w:val=""/>
      <w:lvlJc w:val="left"/>
      <w:pPr>
        <w:ind w:left="284" w:hanging="284"/>
      </w:pPr>
      <w:rPr>
        <w:rFonts w:ascii="Symbol" w:hAnsi="Symbol" w:hint="default"/>
        <w:color w:val="auto"/>
      </w:rPr>
    </w:lvl>
    <w:lvl w:ilvl="1">
      <w:start w:val="1"/>
      <w:numFmt w:val="bullet"/>
      <w:pStyle w:val="TableListBullet2"/>
      <w:lvlText w:val="─"/>
      <w:lvlJc w:val="left"/>
      <w:pPr>
        <w:ind w:left="568" w:hanging="284"/>
      </w:pPr>
      <w:rPr>
        <w:rFonts w:ascii="Calibri" w:hAnsi="Calibri" w:hint="default"/>
        <w:color w:val="auto"/>
      </w:rPr>
    </w:lvl>
    <w:lvl w:ilvl="2">
      <w:start w:val="1"/>
      <w:numFmt w:val="bullet"/>
      <w:pStyle w:val="TableListBullet3"/>
      <w:lvlText w:val=""/>
      <w:lvlJc w:val="left"/>
      <w:pPr>
        <w:ind w:left="852" w:hanging="284"/>
      </w:pPr>
      <w:rPr>
        <w:rFonts w:ascii="Wingdings" w:hAnsi="Wingdings" w:hint="default"/>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Calibri" w:hAnsi="Calibri" w:hint="default"/>
        <w:color w:val="auto"/>
      </w:rPr>
    </w:lvl>
    <w:lvl w:ilvl="5">
      <w:start w:val="1"/>
      <w:numFmt w:val="bullet"/>
      <w:lvlText w:val=""/>
      <w:lvlJc w:val="left"/>
      <w:pPr>
        <w:ind w:left="1704" w:hanging="284"/>
      </w:pPr>
      <w:rPr>
        <w:rFonts w:ascii="Wingdings" w:hAnsi="Wingdings" w:hint="default"/>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Calibri" w:hAnsi="Calibri" w:hint="default"/>
        <w:color w:val="auto"/>
      </w:rPr>
    </w:lvl>
    <w:lvl w:ilvl="8">
      <w:start w:val="1"/>
      <w:numFmt w:val="bullet"/>
      <w:lvlText w:val=""/>
      <w:lvlJc w:val="left"/>
      <w:pPr>
        <w:ind w:left="2556" w:hanging="284"/>
      </w:pPr>
      <w:rPr>
        <w:rFonts w:ascii="Wingdings" w:hAnsi="Wingdings" w:hint="default"/>
      </w:rPr>
    </w:lvl>
  </w:abstractNum>
  <w:abstractNum w:abstractNumId="21" w15:restartNumberingAfterBreak="0">
    <w:nsid w:val="51880F48"/>
    <w:multiLevelType w:val="multilevel"/>
    <w:tmpl w:val="5B6227C6"/>
    <w:styleLink w:val="AECOMList"/>
    <w:lvl w:ilvl="0">
      <w:start w:val="1"/>
      <w:numFmt w:val="decimal"/>
      <w:lvlText w:val="%1."/>
      <w:lvlJc w:val="left"/>
      <w:pPr>
        <w:ind w:left="357" w:hanging="357"/>
      </w:pPr>
      <w:rPr>
        <w:rFonts w:hint="default"/>
      </w:rPr>
    </w:lvl>
    <w:lvl w:ilvl="1">
      <w:start w:val="1"/>
      <w:numFmt w:val="lowerLetter"/>
      <w:lvlText w:val="%2."/>
      <w:lvlJc w:val="left"/>
      <w:pPr>
        <w:ind w:left="714" w:hanging="357"/>
      </w:pPr>
      <w:rPr>
        <w:rFonts w:hint="default"/>
      </w:rPr>
    </w:lvl>
    <w:lvl w:ilvl="2">
      <w:start w:val="1"/>
      <w:numFmt w:val="lowerRoman"/>
      <w:lvlText w:val="%3."/>
      <w:lvlJc w:val="left"/>
      <w:pPr>
        <w:ind w:left="1071" w:hanging="357"/>
      </w:pPr>
      <w:rPr>
        <w:rFonts w:hint="default"/>
      </w:rPr>
    </w:lvl>
    <w:lvl w:ilvl="3">
      <w:start w:val="1"/>
      <w:numFmt w:val="decimal"/>
      <w:lvlText w:val="%4."/>
      <w:lvlJc w:val="left"/>
      <w:pPr>
        <w:tabs>
          <w:tab w:val="num" w:pos="1431"/>
        </w:tabs>
        <w:ind w:left="1428" w:hanging="357"/>
      </w:pPr>
      <w:rPr>
        <w:rFonts w:hint="default"/>
      </w:rPr>
    </w:lvl>
    <w:lvl w:ilvl="4">
      <w:start w:val="1"/>
      <w:numFmt w:val="lowerLetter"/>
      <w:lvlText w:val="%5."/>
      <w:lvlJc w:val="left"/>
      <w:pPr>
        <w:tabs>
          <w:tab w:val="num" w:pos="1788"/>
        </w:tabs>
        <w:ind w:left="1785" w:hanging="357"/>
      </w:pPr>
      <w:rPr>
        <w:rFonts w:hint="default"/>
      </w:rPr>
    </w:lvl>
    <w:lvl w:ilvl="5">
      <w:start w:val="1"/>
      <w:numFmt w:val="lowerRoman"/>
      <w:lvlText w:val="%6."/>
      <w:lvlJc w:val="right"/>
      <w:pPr>
        <w:tabs>
          <w:tab w:val="num" w:pos="2145"/>
        </w:tabs>
        <w:ind w:left="2142" w:hanging="357"/>
      </w:pPr>
      <w:rPr>
        <w:rFonts w:hint="default"/>
      </w:rPr>
    </w:lvl>
    <w:lvl w:ilvl="6">
      <w:start w:val="1"/>
      <w:numFmt w:val="decimal"/>
      <w:lvlText w:val="%7."/>
      <w:lvlJc w:val="left"/>
      <w:pPr>
        <w:tabs>
          <w:tab w:val="num" w:pos="2502"/>
        </w:tabs>
        <w:ind w:left="2499" w:hanging="357"/>
      </w:pPr>
      <w:rPr>
        <w:rFonts w:hint="default"/>
      </w:rPr>
    </w:lvl>
    <w:lvl w:ilvl="7">
      <w:start w:val="1"/>
      <w:numFmt w:val="lowerLetter"/>
      <w:lvlText w:val="%8."/>
      <w:lvlJc w:val="left"/>
      <w:pPr>
        <w:tabs>
          <w:tab w:val="num" w:pos="2859"/>
        </w:tabs>
        <w:ind w:left="2856" w:hanging="357"/>
      </w:pPr>
      <w:rPr>
        <w:rFonts w:hint="default"/>
      </w:rPr>
    </w:lvl>
    <w:lvl w:ilvl="8">
      <w:start w:val="1"/>
      <w:numFmt w:val="lowerRoman"/>
      <w:lvlText w:val="%9."/>
      <w:lvlJc w:val="right"/>
      <w:pPr>
        <w:tabs>
          <w:tab w:val="num" w:pos="3216"/>
        </w:tabs>
        <w:ind w:left="3213" w:hanging="357"/>
      </w:pPr>
      <w:rPr>
        <w:rFonts w:hint="default"/>
      </w:rPr>
    </w:lvl>
  </w:abstractNum>
  <w:abstractNum w:abstractNumId="22" w15:restartNumberingAfterBreak="0">
    <w:nsid w:val="5571285C"/>
    <w:multiLevelType w:val="multilevel"/>
    <w:tmpl w:val="EA0EDFCA"/>
    <w:name w:val="AECOM Outline numbering2"/>
    <w:lvl w:ilvl="0">
      <w:start w:val="1"/>
      <w:numFmt w:val="decimal"/>
      <w:lvlRestart w:val="0"/>
      <w:lvlText w:val="%1."/>
      <w:lvlJc w:val="left"/>
      <w:pPr>
        <w:tabs>
          <w:tab w:val="num" w:pos="850"/>
        </w:tabs>
        <w:ind w:left="850" w:hanging="850"/>
      </w:pPr>
      <w:rPr>
        <w:rFonts w:hint="default"/>
      </w:rPr>
    </w:lvl>
    <w:lvl w:ilvl="1">
      <w:start w:val="1"/>
      <w:numFmt w:val="decimal"/>
      <w:lvlText w:val="%1.%2"/>
      <w:lvlJc w:val="left"/>
      <w:pPr>
        <w:tabs>
          <w:tab w:val="num" w:pos="850"/>
        </w:tabs>
        <w:ind w:left="850" w:hanging="850"/>
      </w:pPr>
      <w:rPr>
        <w:rFonts w:hint="default"/>
      </w:rPr>
    </w:lvl>
    <w:lvl w:ilvl="2">
      <w:start w:val="1"/>
      <w:numFmt w:val="decimal"/>
      <w:lvlText w:val="%1.%2.%3"/>
      <w:lvlJc w:val="left"/>
      <w:pPr>
        <w:tabs>
          <w:tab w:val="num" w:pos="850"/>
        </w:tabs>
        <w:ind w:left="850" w:hanging="850"/>
      </w:pPr>
      <w:rPr>
        <w:rFonts w:hint="default"/>
      </w:rPr>
    </w:lvl>
    <w:lvl w:ilvl="3">
      <w:start w:val="1"/>
      <w:numFmt w:val="decimal"/>
      <w:lvlText w:val="%1.%2.%3.%4"/>
      <w:lvlJc w:val="left"/>
      <w:pPr>
        <w:tabs>
          <w:tab w:val="num" w:pos="850"/>
        </w:tabs>
        <w:ind w:left="850" w:hanging="850"/>
      </w:pPr>
      <w:rPr>
        <w:rFonts w:hint="default"/>
      </w:rPr>
    </w:lvl>
    <w:lvl w:ilvl="4">
      <w:start w:val="1"/>
      <w:numFmt w:val="decimal"/>
      <w:lvlText w:val="%1.%2.%3.%4.%5"/>
      <w:lvlJc w:val="left"/>
      <w:pPr>
        <w:tabs>
          <w:tab w:val="num" w:pos="850"/>
        </w:tabs>
        <w:ind w:left="850" w:hanging="850"/>
      </w:pPr>
      <w:rPr>
        <w:rFonts w:hint="default"/>
      </w:rPr>
    </w:lvl>
    <w:lvl w:ilvl="5">
      <w:start w:val="1"/>
      <w:numFmt w:val="decimal"/>
      <w:lvlText w:val="%1.%2.%3.%4.%5.%6"/>
      <w:lvlJc w:val="left"/>
      <w:pPr>
        <w:tabs>
          <w:tab w:val="num" w:pos="850"/>
        </w:tabs>
        <w:ind w:left="850" w:hanging="850"/>
      </w:pPr>
      <w:rPr>
        <w:rFonts w:hint="default"/>
      </w:rPr>
    </w:lvl>
    <w:lvl w:ilvl="6">
      <w:start w:val="1"/>
      <w:numFmt w:val="decimal"/>
      <w:lvlText w:val="%1.%2.%3.%4.%5.%6.%7"/>
      <w:lvlJc w:val="left"/>
      <w:pPr>
        <w:tabs>
          <w:tab w:val="num" w:pos="850"/>
        </w:tabs>
        <w:ind w:left="850" w:hanging="850"/>
      </w:pPr>
      <w:rPr>
        <w:rFonts w:hint="default"/>
      </w:rPr>
    </w:lvl>
    <w:lvl w:ilvl="7">
      <w:start w:val="1"/>
      <w:numFmt w:val="decimal"/>
      <w:lvlText w:val="%1.%2.%3.%4.%5.%6.%7.%8"/>
      <w:lvlJc w:val="left"/>
      <w:pPr>
        <w:tabs>
          <w:tab w:val="num" w:pos="850"/>
        </w:tabs>
        <w:ind w:left="850" w:hanging="850"/>
      </w:pPr>
      <w:rPr>
        <w:rFonts w:hint="default"/>
      </w:rPr>
    </w:lvl>
    <w:lvl w:ilvl="8">
      <w:start w:val="1"/>
      <w:numFmt w:val="decimal"/>
      <w:lvlText w:val="%1.%2.%3.%4.%5.%6.%7.%8.%9"/>
      <w:lvlJc w:val="left"/>
      <w:pPr>
        <w:tabs>
          <w:tab w:val="num" w:pos="850"/>
        </w:tabs>
        <w:ind w:left="850" w:hanging="850"/>
      </w:pPr>
      <w:rPr>
        <w:rFonts w:hint="default"/>
      </w:rPr>
    </w:lvl>
  </w:abstractNum>
  <w:abstractNum w:abstractNumId="23" w15:restartNumberingAfterBreak="0">
    <w:nsid w:val="629A7DB5"/>
    <w:multiLevelType w:val="hybridMultilevel"/>
    <w:tmpl w:val="2BC8F22A"/>
    <w:lvl w:ilvl="0" w:tplc="DB46ACB8">
      <w:start w:val="1"/>
      <w:numFmt w:val="lowerLetter"/>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59A027C"/>
    <w:multiLevelType w:val="multilevel"/>
    <w:tmpl w:val="ACFCE65E"/>
    <w:lvl w:ilvl="0">
      <w:start w:val="1"/>
      <w:numFmt w:val="decimal"/>
      <w:pStyle w:val="ListNumber"/>
      <w:lvlText w:val="%1."/>
      <w:lvlJc w:val="left"/>
      <w:pPr>
        <w:ind w:left="425" w:hanging="425"/>
      </w:pPr>
      <w:rPr>
        <w:rFonts w:hint="default"/>
      </w:rPr>
    </w:lvl>
    <w:lvl w:ilvl="1">
      <w:start w:val="1"/>
      <w:numFmt w:val="lowerLetter"/>
      <w:pStyle w:val="ListNumber2"/>
      <w:lvlText w:val="%2."/>
      <w:lvlJc w:val="left"/>
      <w:pPr>
        <w:tabs>
          <w:tab w:val="num" w:pos="850"/>
        </w:tabs>
        <w:ind w:left="850" w:hanging="425"/>
      </w:pPr>
      <w:rPr>
        <w:rFonts w:hint="default"/>
      </w:rPr>
    </w:lvl>
    <w:lvl w:ilvl="2">
      <w:start w:val="1"/>
      <w:numFmt w:val="lowerRoman"/>
      <w:pStyle w:val="ListNumber3"/>
      <w:lvlText w:val="%3."/>
      <w:lvlJc w:val="left"/>
      <w:pPr>
        <w:tabs>
          <w:tab w:val="num" w:pos="1275"/>
        </w:tabs>
        <w:ind w:left="1275" w:hanging="425"/>
      </w:pPr>
      <w:rPr>
        <w:rFonts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righ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right"/>
      <w:pPr>
        <w:tabs>
          <w:tab w:val="num" w:pos="3825"/>
        </w:tabs>
        <w:ind w:left="3825" w:hanging="425"/>
      </w:pPr>
      <w:rPr>
        <w:rFonts w:hint="default"/>
      </w:rPr>
    </w:lvl>
  </w:abstractNum>
  <w:abstractNum w:abstractNumId="25" w15:restartNumberingAfterBreak="0">
    <w:nsid w:val="6EFE498B"/>
    <w:multiLevelType w:val="multilevel"/>
    <w:tmpl w:val="D88893D6"/>
    <w:lvl w:ilvl="0">
      <w:start w:val="1"/>
      <w:numFmt w:val="bullet"/>
      <w:pStyle w:val="ListBullet"/>
      <w:lvlText w:val=""/>
      <w:lvlJc w:val="left"/>
      <w:pPr>
        <w:tabs>
          <w:tab w:val="num" w:pos="425"/>
        </w:tabs>
        <w:ind w:left="425" w:hanging="425"/>
      </w:pPr>
      <w:rPr>
        <w:rFonts w:ascii="Symbol" w:hAnsi="Symbol" w:hint="default"/>
        <w:color w:val="auto"/>
      </w:rPr>
    </w:lvl>
    <w:lvl w:ilvl="1">
      <w:start w:val="1"/>
      <w:numFmt w:val="bullet"/>
      <w:pStyle w:val="ListBullet2"/>
      <w:lvlText w:val="─"/>
      <w:lvlJc w:val="left"/>
      <w:pPr>
        <w:tabs>
          <w:tab w:val="num" w:pos="851"/>
        </w:tabs>
        <w:ind w:left="850" w:hanging="425"/>
      </w:pPr>
      <w:rPr>
        <w:rFonts w:ascii="Calibri" w:hAnsi="Calibri" w:hint="default"/>
        <w:color w:val="auto"/>
      </w:rPr>
    </w:lvl>
    <w:lvl w:ilvl="2">
      <w:start w:val="1"/>
      <w:numFmt w:val="bullet"/>
      <w:pStyle w:val="ListBullet3"/>
      <w:lvlText w:val=""/>
      <w:lvlJc w:val="left"/>
      <w:pPr>
        <w:tabs>
          <w:tab w:val="num" w:pos="1276"/>
        </w:tabs>
        <w:ind w:left="1275" w:hanging="425"/>
      </w:pPr>
      <w:rPr>
        <w:rFonts w:ascii="Wingdings" w:hAnsi="Wingdings" w:hint="default"/>
        <w:color w:val="auto"/>
      </w:rPr>
    </w:lvl>
    <w:lvl w:ilvl="3">
      <w:start w:val="1"/>
      <w:numFmt w:val="bullet"/>
      <w:lvlText w:val=""/>
      <w:lvlJc w:val="left"/>
      <w:pPr>
        <w:ind w:left="1700" w:hanging="425"/>
      </w:pPr>
      <w:rPr>
        <w:rFonts w:ascii="Symbol" w:hAnsi="Symbol" w:hint="default"/>
      </w:rPr>
    </w:lvl>
    <w:lvl w:ilvl="4">
      <w:start w:val="1"/>
      <w:numFmt w:val="bullet"/>
      <w:lvlText w:val="─"/>
      <w:lvlJc w:val="left"/>
      <w:pPr>
        <w:ind w:left="2125" w:hanging="425"/>
      </w:pPr>
      <w:rPr>
        <w:rFonts w:ascii="Calibri" w:hAnsi="Calibri" w:hint="default"/>
        <w:color w:val="auto"/>
      </w:rPr>
    </w:lvl>
    <w:lvl w:ilvl="5">
      <w:start w:val="1"/>
      <w:numFmt w:val="bullet"/>
      <w:lvlText w:val=""/>
      <w:lvlJc w:val="left"/>
      <w:pPr>
        <w:tabs>
          <w:tab w:val="num" w:pos="2346"/>
        </w:tabs>
        <w:ind w:left="2550" w:hanging="425"/>
      </w:pPr>
      <w:rPr>
        <w:rFonts w:ascii="Wingdings" w:hAnsi="Wingdings" w:hint="default"/>
      </w:rPr>
    </w:lvl>
    <w:lvl w:ilvl="6">
      <w:start w:val="1"/>
      <w:numFmt w:val="bullet"/>
      <w:lvlText w:val=""/>
      <w:lvlJc w:val="left"/>
      <w:pPr>
        <w:tabs>
          <w:tab w:val="num" w:pos="2630"/>
        </w:tabs>
        <w:ind w:left="2975" w:hanging="425"/>
      </w:pPr>
      <w:rPr>
        <w:rFonts w:ascii="Symbol" w:hAnsi="Symbol" w:hint="default"/>
      </w:rPr>
    </w:lvl>
    <w:lvl w:ilvl="7">
      <w:start w:val="1"/>
      <w:numFmt w:val="bullet"/>
      <w:lvlText w:val="─"/>
      <w:lvlJc w:val="left"/>
      <w:pPr>
        <w:tabs>
          <w:tab w:val="num" w:pos="2914"/>
        </w:tabs>
        <w:ind w:left="3400" w:hanging="425"/>
      </w:pPr>
      <w:rPr>
        <w:rFonts w:ascii="Calibri" w:hAnsi="Calibri" w:hint="default"/>
        <w:color w:val="auto"/>
      </w:rPr>
    </w:lvl>
    <w:lvl w:ilvl="8">
      <w:start w:val="1"/>
      <w:numFmt w:val="bullet"/>
      <w:lvlText w:val=""/>
      <w:lvlJc w:val="left"/>
      <w:pPr>
        <w:tabs>
          <w:tab w:val="num" w:pos="3198"/>
        </w:tabs>
        <w:ind w:left="3825" w:hanging="425"/>
      </w:pPr>
      <w:rPr>
        <w:rFonts w:ascii="Wingdings" w:hAnsi="Wingdings" w:hint="default"/>
      </w:rPr>
    </w:lvl>
  </w:abstractNum>
  <w:abstractNum w:abstractNumId="26" w15:restartNumberingAfterBreak="0">
    <w:nsid w:val="7B3738AF"/>
    <w:multiLevelType w:val="hybridMultilevel"/>
    <w:tmpl w:val="9EEEBB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21"/>
  </w:num>
  <w:num w:numId="3">
    <w:abstractNumId w:val="3"/>
  </w:num>
  <w:num w:numId="4">
    <w:abstractNumId w:val="2"/>
  </w:num>
  <w:num w:numId="5">
    <w:abstractNumId w:val="1"/>
  </w:num>
  <w:num w:numId="6">
    <w:abstractNumId w:val="0"/>
  </w:num>
  <w:num w:numId="7">
    <w:abstractNumId w:val="5"/>
  </w:num>
  <w:num w:numId="8">
    <w:abstractNumId w:val="9"/>
  </w:num>
  <w:num w:numId="9">
    <w:abstractNumId w:val="22"/>
  </w:num>
  <w:num w:numId="10">
    <w:abstractNumId w:val="6"/>
  </w:num>
  <w:num w:numId="11">
    <w:abstractNumId w:val="11"/>
  </w:num>
  <w:num w:numId="12">
    <w:abstractNumId w:val="18"/>
  </w:num>
  <w:num w:numId="13">
    <w:abstractNumId w:val="8"/>
  </w:num>
  <w:num w:numId="14">
    <w:abstractNumId w:val="25"/>
  </w:num>
  <w:num w:numId="15">
    <w:abstractNumId w:val="24"/>
  </w:num>
  <w:num w:numId="16">
    <w:abstractNumId w:val="12"/>
  </w:num>
  <w:num w:numId="17">
    <w:abstractNumId w:val="14"/>
  </w:num>
  <w:num w:numId="18">
    <w:abstractNumId w:val="14"/>
  </w:num>
  <w:num w:numId="19">
    <w:abstractNumId w:val="20"/>
  </w:num>
  <w:num w:numId="20">
    <w:abstractNumId w:val="4"/>
  </w:num>
  <w:num w:numId="21">
    <w:abstractNumId w:val="19"/>
  </w:num>
  <w:num w:numId="22">
    <w:abstractNumId w:val="15"/>
  </w:num>
  <w:num w:numId="23">
    <w:abstractNumId w:val="17"/>
  </w:num>
  <w:num w:numId="24">
    <w:abstractNumId w:val="26"/>
  </w:num>
  <w:num w:numId="25">
    <w:abstractNumId w:val="17"/>
  </w:num>
  <w:num w:numId="26">
    <w:abstractNumId w:val="26"/>
  </w:num>
  <w:num w:numId="27">
    <w:abstractNumId w:val="15"/>
  </w:num>
  <w:num w:numId="28">
    <w:abstractNumId w:val="7"/>
  </w:num>
  <w:num w:numId="29">
    <w:abstractNumId w:val="23"/>
  </w:num>
  <w:num w:numId="30">
    <w:abstractNumId w:val="1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6"/>
  <w:drawingGridVerticalSpacing w:val="6"/>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CTIVATED" w:val="1"/>
    <w:docVar w:name="cbTextLanguage_ListCount" w:val="0"/>
    <w:docVar w:name="cbTextLanguage_ListIndex" w:val="-1"/>
    <w:docVar w:name="CheckBox2" w:val="0"/>
    <w:docVar w:name="chkChangeCoverImage" w:val="0"/>
    <w:docVar w:name="chkDraft" w:val="-1"/>
    <w:docVar w:name="chkFileName" w:val="0"/>
    <w:docVar w:name="chkFileNamePath" w:val="0"/>
    <w:docVar w:name="chkIncludeClientInHedaer" w:val="0"/>
    <w:docVar w:name="chkIncludeClientonCover" w:val="0"/>
    <w:docVar w:name="chkOfficeAddressBackcover" w:val="-1"/>
    <w:docVar w:name="chkPrintedOnRecycledPaper" w:val="0"/>
    <w:docVar w:name="chkSaveFooterDetails" w:val="0"/>
    <w:docVar w:name="chkSaveOfficeAddress" w:val="0"/>
    <w:docVar w:name="chkScholars" w:val="0"/>
    <w:docVar w:name="chkUKILongformLimitations" w:val="0"/>
    <w:docVar w:name="chkWhiteBorder" w:val="0"/>
    <w:docVar w:name="lbANZDisclaimers_ListCount" w:val="0"/>
    <w:docVar w:name="lbANZDisclaimers_ListIndex" w:val="-1"/>
    <w:docVar w:name="lbANZLimitations_ListCount" w:val="0"/>
    <w:docVar w:name="lbANZLimitations_ListIndex" w:val="-1"/>
    <w:docVar w:name="lbAuthor_ListCount" w:val="0"/>
    <w:docVar w:name="lbAuthor_ListIndex" w:val="-1"/>
    <w:docVar w:name="lbImages_ListCount" w:val="6"/>
    <w:docVar w:name="lbImages_ListIndex" w:val="-1"/>
    <w:docVar w:name="lbProtectiveMarkings_0" w:val="None"/>
    <w:docVar w:name="lbProtectiveMarkings_0_0" w:val="None"/>
    <w:docVar w:name="lbProtectiveMarkings_1" w:val="PUBLIC"/>
    <w:docVar w:name="lbProtectiveMarkings_1_0" w:val="PUBLIC"/>
    <w:docVar w:name="lbProtectiveMarkings_2" w:val="OFFICIAL"/>
    <w:docVar w:name="lbProtectiveMarkings_2_0" w:val="OFFICIAL"/>
    <w:docVar w:name="lbProtectiveMarkings_3" w:val="COMPANY CONFIDENTIAL"/>
    <w:docVar w:name="lbProtectiveMarkings_3_0" w:val="COMPANY CONFIDENTIAL"/>
    <w:docVar w:name="lbProtectiveMarkings_4" w:val="COMMERCIAL IN CONFIDENCE"/>
    <w:docVar w:name="lbProtectiveMarkings_4_0" w:val="COMMERCIAL IN CONFIDENCE"/>
    <w:docVar w:name="lbProtectiveMarkings_5" w:val="DRAFT"/>
    <w:docVar w:name="lbProtectiveMarkings_5_0" w:val="DRAFT"/>
    <w:docVar w:name="lbProtectiveMarkings_6" w:val="Free-type ...  (use a comma to denote a new line)"/>
    <w:docVar w:name="lbProtectiveMarkings_6_0" w:val="Free-type ...  (use a comma to denote a new line)"/>
    <w:docVar w:name="lbProtectiveMarkings_ListCount" w:val="7"/>
    <w:docVar w:name="lbProtectiveMarkings_ListIndex" w:val="-1"/>
    <w:docVar w:name="opt1column" w:val="-1"/>
    <w:docVar w:name="opt2column" w:val="0"/>
    <w:docVar w:name="opt3column" w:val="0"/>
    <w:docVar w:name="optA3Landscape" w:val="0"/>
    <w:docVar w:name="optA4" w:val="-1"/>
    <w:docVar w:name="optA4Landscape" w:val="0"/>
    <w:docVar w:name="optA4Portrait" w:val="0"/>
    <w:docVar w:name="optBW" w:val="-1"/>
    <w:docVar w:name="optChangeFontAECOMSans" w:val="0"/>
    <w:docVar w:name="optChangeFontArial" w:val="-1"/>
    <w:docVar w:name="optCoversheet" w:val="0"/>
    <w:docVar w:name="optDoubleSided" w:val="0"/>
    <w:docVar w:name="optFont10" w:val="-1"/>
    <w:docVar w:name="optFont11" w:val="0"/>
    <w:docVar w:name="optFont12" w:val="0"/>
    <w:docVar w:name="optFont9" w:val="0"/>
    <w:docVar w:name="optGraphicFull" w:val="0"/>
    <w:docVar w:name="optHeading1Font18" w:val="0"/>
    <w:docVar w:name="optHeading1Font21" w:val="0"/>
    <w:docVar w:name="optHeading1Font24" w:val="-1"/>
    <w:docVar w:name="optLetter" w:val="0"/>
    <w:docVar w:name="optLogo" w:val="-1"/>
    <w:docVar w:name="optNoLogo" w:val="0"/>
    <w:docVar w:name="optNumberedHeadings" w:val="-1"/>
    <w:docVar w:name="optNumberedHeadingsParagraphs" w:val="0"/>
    <w:docVar w:name="optP0" w:val="0"/>
    <w:docVar w:name="optP1" w:val="-1"/>
    <w:docVar w:name="optP2" w:val="0"/>
    <w:docVar w:name="optP3" w:val="0"/>
    <w:docVar w:name="optP4" w:val="0"/>
    <w:docVar w:name="optP5" w:val="0"/>
    <w:docVar w:name="optP6" w:val="0"/>
    <w:docVar w:name="optPhotoFull" w:val="0"/>
    <w:docVar w:name="optPhotoGrahicHalf" w:val="0"/>
    <w:docVar w:name="optPlainBlue" w:val="0"/>
    <w:docVar w:name="optS0" w:val="0"/>
    <w:docVar w:name="optS1" w:val="0"/>
    <w:docVar w:name="optS2" w:val="0"/>
    <w:docVar w:name="optS3" w:val="0"/>
    <w:docVar w:name="optS4" w:val="0"/>
    <w:docVar w:name="optS5" w:val="0"/>
    <w:docVar w:name="optS6" w:val="0"/>
    <w:docVar w:name="optSingleSided" w:val="-1"/>
    <w:docVar w:name="optTechnicalReport" w:val="-1"/>
    <w:docVar w:name="optTenderProposal" w:val="0"/>
    <w:docVar w:name="optUnNumberedHeadings" w:val="0"/>
    <w:docVar w:name="optUSLetterLandscape" w:val="0"/>
    <w:docVar w:name="optUSLetterPortrait" w:val="-1"/>
    <w:docVar w:name="RERUN" w:val="1"/>
    <w:docVar w:name="SelectedCountry" w:val="3"/>
    <w:docVar w:name="SelectedEntity" w:val="0"/>
    <w:docVar w:name="SelectedGeo" w:val="0"/>
    <w:docVar w:name="SelectedLanguage" w:val="0"/>
    <w:docVar w:name="SelectedOffice" w:val="32"/>
    <w:docVar w:name="SelectedPageLayout" w:val="5"/>
    <w:docVar w:name="SelectedRegion" w:val="1"/>
    <w:docVar w:name="tbAuthorEmail" w:val="dan.nelson@aecom.com"/>
    <w:docVar w:name="tbAuthorJobTitle" w:val="ITS Planner"/>
    <w:docVar w:name="tbAuthorName" w:val="Dan Nelson"/>
    <w:docVar w:name="tbAuthorTele" w:val="612-376-2061"/>
    <w:docVar w:name="tbDate" w:val="August 7, 2017"/>
    <w:docVar w:name="tbDocumentTitle" w:val="Tier 1 Case Study Report: Wisconsin DOT AVL / GPS System Use"/>
    <w:docVar w:name="tbImage" w:val="None"/>
    <w:docVar w:name="tbOfficeAddress" w:val="AECOM_x000d__x000a_800 LaSalle Avenue_x000d__x000a_Minneapolis, MN 55402_x000d__x000a_aecom.com"/>
    <w:docVar w:name="tbProjectNumber" w:val="60535309"/>
    <w:docVar w:name="tbProjectReference" w:val="Clear Roads Project 16-01: Utilization of AVL / GPS Technology: Case Studies"/>
    <w:docVar w:name="tbSubtitle" w:val="Clear Roads Project 16-01: Utilization of AVL / GPS Technology: Case Studies"/>
    <w:docVar w:name="TranslateChart" w:val="Chart"/>
    <w:docVar w:name="TranslateFigure" w:val="Figure"/>
    <w:docVar w:name="TranslateTable" w:val="Table"/>
  </w:docVars>
  <w:rsids>
    <w:rsidRoot w:val="007B7A3A"/>
    <w:rsid w:val="00004730"/>
    <w:rsid w:val="0000567F"/>
    <w:rsid w:val="00005796"/>
    <w:rsid w:val="00011B0A"/>
    <w:rsid w:val="000144E9"/>
    <w:rsid w:val="00023F39"/>
    <w:rsid w:val="00027303"/>
    <w:rsid w:val="00030504"/>
    <w:rsid w:val="0003139A"/>
    <w:rsid w:val="0003173A"/>
    <w:rsid w:val="00032ED4"/>
    <w:rsid w:val="000364E3"/>
    <w:rsid w:val="00036C67"/>
    <w:rsid w:val="0004282D"/>
    <w:rsid w:val="0004726B"/>
    <w:rsid w:val="00050057"/>
    <w:rsid w:val="0005363D"/>
    <w:rsid w:val="000537D2"/>
    <w:rsid w:val="00053BE8"/>
    <w:rsid w:val="00053F18"/>
    <w:rsid w:val="00053FBD"/>
    <w:rsid w:val="0005776B"/>
    <w:rsid w:val="0005782B"/>
    <w:rsid w:val="00064730"/>
    <w:rsid w:val="000652F7"/>
    <w:rsid w:val="000663FA"/>
    <w:rsid w:val="00066A8B"/>
    <w:rsid w:val="00067457"/>
    <w:rsid w:val="000810BF"/>
    <w:rsid w:val="00082023"/>
    <w:rsid w:val="00083354"/>
    <w:rsid w:val="0009153B"/>
    <w:rsid w:val="0009611E"/>
    <w:rsid w:val="000A14DC"/>
    <w:rsid w:val="000A2D0C"/>
    <w:rsid w:val="000A5E31"/>
    <w:rsid w:val="000A6A13"/>
    <w:rsid w:val="000B28E6"/>
    <w:rsid w:val="000B73C5"/>
    <w:rsid w:val="000B74A0"/>
    <w:rsid w:val="000C0D5A"/>
    <w:rsid w:val="000C334B"/>
    <w:rsid w:val="000C3C1D"/>
    <w:rsid w:val="000D0AC9"/>
    <w:rsid w:val="000D13AF"/>
    <w:rsid w:val="000D5DEF"/>
    <w:rsid w:val="000E1D79"/>
    <w:rsid w:val="000E221E"/>
    <w:rsid w:val="000E4587"/>
    <w:rsid w:val="000F0027"/>
    <w:rsid w:val="000F22FF"/>
    <w:rsid w:val="000F2C08"/>
    <w:rsid w:val="000F5328"/>
    <w:rsid w:val="000F66C9"/>
    <w:rsid w:val="00101D49"/>
    <w:rsid w:val="001021E4"/>
    <w:rsid w:val="0010671C"/>
    <w:rsid w:val="0010771D"/>
    <w:rsid w:val="0011006A"/>
    <w:rsid w:val="00110478"/>
    <w:rsid w:val="00112161"/>
    <w:rsid w:val="00112827"/>
    <w:rsid w:val="00113896"/>
    <w:rsid w:val="00115CA4"/>
    <w:rsid w:val="0012093B"/>
    <w:rsid w:val="0012697D"/>
    <w:rsid w:val="00127AF4"/>
    <w:rsid w:val="00130092"/>
    <w:rsid w:val="001315BF"/>
    <w:rsid w:val="00132860"/>
    <w:rsid w:val="00133853"/>
    <w:rsid w:val="001343B0"/>
    <w:rsid w:val="00134992"/>
    <w:rsid w:val="00134E0E"/>
    <w:rsid w:val="00135D79"/>
    <w:rsid w:val="00136AA6"/>
    <w:rsid w:val="00136C29"/>
    <w:rsid w:val="00137944"/>
    <w:rsid w:val="001408A2"/>
    <w:rsid w:val="001430F2"/>
    <w:rsid w:val="00143D54"/>
    <w:rsid w:val="00144B35"/>
    <w:rsid w:val="00144B71"/>
    <w:rsid w:val="001453AD"/>
    <w:rsid w:val="00145502"/>
    <w:rsid w:val="00145561"/>
    <w:rsid w:val="0014571E"/>
    <w:rsid w:val="00150531"/>
    <w:rsid w:val="001618B5"/>
    <w:rsid w:val="00164CB2"/>
    <w:rsid w:val="00166D71"/>
    <w:rsid w:val="0017116A"/>
    <w:rsid w:val="001750DB"/>
    <w:rsid w:val="00177077"/>
    <w:rsid w:val="00177C13"/>
    <w:rsid w:val="00177DEA"/>
    <w:rsid w:val="0018100D"/>
    <w:rsid w:val="0018305D"/>
    <w:rsid w:val="00185F80"/>
    <w:rsid w:val="00186090"/>
    <w:rsid w:val="00186702"/>
    <w:rsid w:val="00190824"/>
    <w:rsid w:val="00190CDA"/>
    <w:rsid w:val="001920F8"/>
    <w:rsid w:val="00193189"/>
    <w:rsid w:val="001933C8"/>
    <w:rsid w:val="001937F2"/>
    <w:rsid w:val="00193855"/>
    <w:rsid w:val="00196E20"/>
    <w:rsid w:val="001A11B6"/>
    <w:rsid w:val="001A1F61"/>
    <w:rsid w:val="001A3682"/>
    <w:rsid w:val="001A52C9"/>
    <w:rsid w:val="001A52DD"/>
    <w:rsid w:val="001B143D"/>
    <w:rsid w:val="001C07AF"/>
    <w:rsid w:val="001C2925"/>
    <w:rsid w:val="001C2BC0"/>
    <w:rsid w:val="001C3018"/>
    <w:rsid w:val="001C5F36"/>
    <w:rsid w:val="001C60EF"/>
    <w:rsid w:val="001C7D04"/>
    <w:rsid w:val="001D1299"/>
    <w:rsid w:val="001D150B"/>
    <w:rsid w:val="001D287A"/>
    <w:rsid w:val="001D33BC"/>
    <w:rsid w:val="001D499A"/>
    <w:rsid w:val="001E1DB1"/>
    <w:rsid w:val="001E26C3"/>
    <w:rsid w:val="001E30CA"/>
    <w:rsid w:val="001F191E"/>
    <w:rsid w:val="001F34A3"/>
    <w:rsid w:val="001F4214"/>
    <w:rsid w:val="001F48C0"/>
    <w:rsid w:val="001F5E46"/>
    <w:rsid w:val="001F75E0"/>
    <w:rsid w:val="002024D6"/>
    <w:rsid w:val="00203182"/>
    <w:rsid w:val="00203A4A"/>
    <w:rsid w:val="00204146"/>
    <w:rsid w:val="002067A8"/>
    <w:rsid w:val="002122AA"/>
    <w:rsid w:val="00213392"/>
    <w:rsid w:val="002134B0"/>
    <w:rsid w:val="00214171"/>
    <w:rsid w:val="002147C0"/>
    <w:rsid w:val="0021591F"/>
    <w:rsid w:val="00215A8B"/>
    <w:rsid w:val="00215FCC"/>
    <w:rsid w:val="00216F12"/>
    <w:rsid w:val="0022472C"/>
    <w:rsid w:val="002309A0"/>
    <w:rsid w:val="00230A71"/>
    <w:rsid w:val="002402D4"/>
    <w:rsid w:val="00241364"/>
    <w:rsid w:val="0024247B"/>
    <w:rsid w:val="00245043"/>
    <w:rsid w:val="00245373"/>
    <w:rsid w:val="00245426"/>
    <w:rsid w:val="00252C7F"/>
    <w:rsid w:val="00253171"/>
    <w:rsid w:val="00254EC8"/>
    <w:rsid w:val="002603F2"/>
    <w:rsid w:val="002609AD"/>
    <w:rsid w:val="00262469"/>
    <w:rsid w:val="00263F55"/>
    <w:rsid w:val="00270E14"/>
    <w:rsid w:val="002740A7"/>
    <w:rsid w:val="002741BD"/>
    <w:rsid w:val="002762F6"/>
    <w:rsid w:val="002770A0"/>
    <w:rsid w:val="00277FF1"/>
    <w:rsid w:val="0028145A"/>
    <w:rsid w:val="00283697"/>
    <w:rsid w:val="00284C82"/>
    <w:rsid w:val="002906B6"/>
    <w:rsid w:val="00293C45"/>
    <w:rsid w:val="00297A94"/>
    <w:rsid w:val="002A3A84"/>
    <w:rsid w:val="002A54FC"/>
    <w:rsid w:val="002A7CB9"/>
    <w:rsid w:val="002B027A"/>
    <w:rsid w:val="002B1CCC"/>
    <w:rsid w:val="002B1D7D"/>
    <w:rsid w:val="002B351E"/>
    <w:rsid w:val="002B4677"/>
    <w:rsid w:val="002B5A8F"/>
    <w:rsid w:val="002C40AE"/>
    <w:rsid w:val="002C4B35"/>
    <w:rsid w:val="002C646C"/>
    <w:rsid w:val="002C7295"/>
    <w:rsid w:val="002C77CB"/>
    <w:rsid w:val="002C78EC"/>
    <w:rsid w:val="002C7E48"/>
    <w:rsid w:val="002D1696"/>
    <w:rsid w:val="002D1969"/>
    <w:rsid w:val="002D1F63"/>
    <w:rsid w:val="002D45C8"/>
    <w:rsid w:val="002D51B3"/>
    <w:rsid w:val="002E519B"/>
    <w:rsid w:val="002E5A2C"/>
    <w:rsid w:val="002E6EF9"/>
    <w:rsid w:val="002E72EA"/>
    <w:rsid w:val="002F3B02"/>
    <w:rsid w:val="00301623"/>
    <w:rsid w:val="00302A12"/>
    <w:rsid w:val="00306118"/>
    <w:rsid w:val="00311C82"/>
    <w:rsid w:val="00312994"/>
    <w:rsid w:val="003130BF"/>
    <w:rsid w:val="00315C27"/>
    <w:rsid w:val="00316A12"/>
    <w:rsid w:val="00316CE6"/>
    <w:rsid w:val="00323122"/>
    <w:rsid w:val="00323654"/>
    <w:rsid w:val="00327242"/>
    <w:rsid w:val="00327DD0"/>
    <w:rsid w:val="003345C9"/>
    <w:rsid w:val="00342A65"/>
    <w:rsid w:val="00342FC4"/>
    <w:rsid w:val="00343248"/>
    <w:rsid w:val="00344A00"/>
    <w:rsid w:val="00347538"/>
    <w:rsid w:val="00354C1F"/>
    <w:rsid w:val="00355E68"/>
    <w:rsid w:val="003636AD"/>
    <w:rsid w:val="00363845"/>
    <w:rsid w:val="00364131"/>
    <w:rsid w:val="00364D94"/>
    <w:rsid w:val="00364FD7"/>
    <w:rsid w:val="003720EB"/>
    <w:rsid w:val="003723EF"/>
    <w:rsid w:val="003732CF"/>
    <w:rsid w:val="003742A0"/>
    <w:rsid w:val="003760C4"/>
    <w:rsid w:val="0037743B"/>
    <w:rsid w:val="0037784E"/>
    <w:rsid w:val="00377998"/>
    <w:rsid w:val="0038025A"/>
    <w:rsid w:val="00383735"/>
    <w:rsid w:val="00387B7C"/>
    <w:rsid w:val="00387DEF"/>
    <w:rsid w:val="00392010"/>
    <w:rsid w:val="003934D8"/>
    <w:rsid w:val="003964F2"/>
    <w:rsid w:val="003A009F"/>
    <w:rsid w:val="003A3653"/>
    <w:rsid w:val="003A38C5"/>
    <w:rsid w:val="003A7385"/>
    <w:rsid w:val="003A79BB"/>
    <w:rsid w:val="003B18BF"/>
    <w:rsid w:val="003B31A5"/>
    <w:rsid w:val="003B36BF"/>
    <w:rsid w:val="003B6C9A"/>
    <w:rsid w:val="003C10A6"/>
    <w:rsid w:val="003C11A1"/>
    <w:rsid w:val="003C43E3"/>
    <w:rsid w:val="003D08F2"/>
    <w:rsid w:val="003D1681"/>
    <w:rsid w:val="003D255E"/>
    <w:rsid w:val="003D2760"/>
    <w:rsid w:val="003D2814"/>
    <w:rsid w:val="003E04ED"/>
    <w:rsid w:val="003E1070"/>
    <w:rsid w:val="003E3DFD"/>
    <w:rsid w:val="003E4FE3"/>
    <w:rsid w:val="003F261B"/>
    <w:rsid w:val="003F7459"/>
    <w:rsid w:val="003F7EA0"/>
    <w:rsid w:val="004006F8"/>
    <w:rsid w:val="00400934"/>
    <w:rsid w:val="00400AFF"/>
    <w:rsid w:val="004019E0"/>
    <w:rsid w:val="0040621C"/>
    <w:rsid w:val="00407772"/>
    <w:rsid w:val="00412894"/>
    <w:rsid w:val="0041372D"/>
    <w:rsid w:val="00413BDE"/>
    <w:rsid w:val="00415158"/>
    <w:rsid w:val="00415998"/>
    <w:rsid w:val="0041646A"/>
    <w:rsid w:val="00417649"/>
    <w:rsid w:val="004217B6"/>
    <w:rsid w:val="004314B8"/>
    <w:rsid w:val="00434FFB"/>
    <w:rsid w:val="004366A6"/>
    <w:rsid w:val="00437546"/>
    <w:rsid w:val="0044100E"/>
    <w:rsid w:val="004422ED"/>
    <w:rsid w:val="004460FF"/>
    <w:rsid w:val="0045162F"/>
    <w:rsid w:val="00460F70"/>
    <w:rsid w:val="00461235"/>
    <w:rsid w:val="004641BD"/>
    <w:rsid w:val="00467014"/>
    <w:rsid w:val="00472275"/>
    <w:rsid w:val="00472819"/>
    <w:rsid w:val="00472BDD"/>
    <w:rsid w:val="004738E7"/>
    <w:rsid w:val="00473BA7"/>
    <w:rsid w:val="0047442C"/>
    <w:rsid w:val="00475C76"/>
    <w:rsid w:val="004775A3"/>
    <w:rsid w:val="0048053F"/>
    <w:rsid w:val="00480F13"/>
    <w:rsid w:val="00481A96"/>
    <w:rsid w:val="004864E1"/>
    <w:rsid w:val="00486C8E"/>
    <w:rsid w:val="00486D5A"/>
    <w:rsid w:val="0048753C"/>
    <w:rsid w:val="0048755A"/>
    <w:rsid w:val="00490643"/>
    <w:rsid w:val="004908C7"/>
    <w:rsid w:val="00491D33"/>
    <w:rsid w:val="00493CF1"/>
    <w:rsid w:val="00493F74"/>
    <w:rsid w:val="00495508"/>
    <w:rsid w:val="004A019D"/>
    <w:rsid w:val="004A03BC"/>
    <w:rsid w:val="004A218F"/>
    <w:rsid w:val="004A7221"/>
    <w:rsid w:val="004B5002"/>
    <w:rsid w:val="004B5DD9"/>
    <w:rsid w:val="004C255D"/>
    <w:rsid w:val="004C4813"/>
    <w:rsid w:val="004C4865"/>
    <w:rsid w:val="004D1548"/>
    <w:rsid w:val="004D15DE"/>
    <w:rsid w:val="004D4675"/>
    <w:rsid w:val="004D4A35"/>
    <w:rsid w:val="004D65DF"/>
    <w:rsid w:val="004D76BA"/>
    <w:rsid w:val="004D7826"/>
    <w:rsid w:val="004E1B08"/>
    <w:rsid w:val="004E43B0"/>
    <w:rsid w:val="004F2A79"/>
    <w:rsid w:val="004F6E2F"/>
    <w:rsid w:val="00503E92"/>
    <w:rsid w:val="005056EB"/>
    <w:rsid w:val="0050790B"/>
    <w:rsid w:val="00511F94"/>
    <w:rsid w:val="00512B79"/>
    <w:rsid w:val="005137B7"/>
    <w:rsid w:val="005139DA"/>
    <w:rsid w:val="00516141"/>
    <w:rsid w:val="0051651E"/>
    <w:rsid w:val="00517F7D"/>
    <w:rsid w:val="00521201"/>
    <w:rsid w:val="005220C8"/>
    <w:rsid w:val="005354C0"/>
    <w:rsid w:val="00537728"/>
    <w:rsid w:val="00540288"/>
    <w:rsid w:val="00542152"/>
    <w:rsid w:val="00542F08"/>
    <w:rsid w:val="0054315A"/>
    <w:rsid w:val="0054374D"/>
    <w:rsid w:val="005453AF"/>
    <w:rsid w:val="005479FD"/>
    <w:rsid w:val="0055004B"/>
    <w:rsid w:val="00550A23"/>
    <w:rsid w:val="00550FEA"/>
    <w:rsid w:val="005522BE"/>
    <w:rsid w:val="005522CA"/>
    <w:rsid w:val="00555AFC"/>
    <w:rsid w:val="0055609F"/>
    <w:rsid w:val="00556737"/>
    <w:rsid w:val="00556EBF"/>
    <w:rsid w:val="00560DBB"/>
    <w:rsid w:val="0056313A"/>
    <w:rsid w:val="0056465A"/>
    <w:rsid w:val="00566B7C"/>
    <w:rsid w:val="005737F7"/>
    <w:rsid w:val="005756F4"/>
    <w:rsid w:val="00576172"/>
    <w:rsid w:val="00582989"/>
    <w:rsid w:val="00593748"/>
    <w:rsid w:val="005964DE"/>
    <w:rsid w:val="005A0EAB"/>
    <w:rsid w:val="005A19DC"/>
    <w:rsid w:val="005A5D91"/>
    <w:rsid w:val="005B0062"/>
    <w:rsid w:val="005B11AA"/>
    <w:rsid w:val="005B3E9A"/>
    <w:rsid w:val="005B4302"/>
    <w:rsid w:val="005C0203"/>
    <w:rsid w:val="005C077A"/>
    <w:rsid w:val="005C0E4D"/>
    <w:rsid w:val="005C4C2B"/>
    <w:rsid w:val="005C569E"/>
    <w:rsid w:val="005C5D9E"/>
    <w:rsid w:val="005D15E5"/>
    <w:rsid w:val="005D2840"/>
    <w:rsid w:val="005E07F5"/>
    <w:rsid w:val="005E3771"/>
    <w:rsid w:val="005E391C"/>
    <w:rsid w:val="005E3CB0"/>
    <w:rsid w:val="005E4697"/>
    <w:rsid w:val="005E690E"/>
    <w:rsid w:val="005F476A"/>
    <w:rsid w:val="005F7AB9"/>
    <w:rsid w:val="0060057F"/>
    <w:rsid w:val="0060058F"/>
    <w:rsid w:val="00601502"/>
    <w:rsid w:val="00605598"/>
    <w:rsid w:val="0060626A"/>
    <w:rsid w:val="00606621"/>
    <w:rsid w:val="00607358"/>
    <w:rsid w:val="0060740D"/>
    <w:rsid w:val="006120CE"/>
    <w:rsid w:val="00614B62"/>
    <w:rsid w:val="00616244"/>
    <w:rsid w:val="00622AD3"/>
    <w:rsid w:val="00624CAA"/>
    <w:rsid w:val="00625962"/>
    <w:rsid w:val="00625A5A"/>
    <w:rsid w:val="0063186E"/>
    <w:rsid w:val="006347B1"/>
    <w:rsid w:val="006354D9"/>
    <w:rsid w:val="006359D6"/>
    <w:rsid w:val="00635A5A"/>
    <w:rsid w:val="00640E05"/>
    <w:rsid w:val="00643BA6"/>
    <w:rsid w:val="00643F22"/>
    <w:rsid w:val="00644DB9"/>
    <w:rsid w:val="00645C64"/>
    <w:rsid w:val="00646A8B"/>
    <w:rsid w:val="00652711"/>
    <w:rsid w:val="00653608"/>
    <w:rsid w:val="00654173"/>
    <w:rsid w:val="00655083"/>
    <w:rsid w:val="0065674E"/>
    <w:rsid w:val="00663636"/>
    <w:rsid w:val="00664FF9"/>
    <w:rsid w:val="00673A12"/>
    <w:rsid w:val="00674190"/>
    <w:rsid w:val="006760E5"/>
    <w:rsid w:val="0067681F"/>
    <w:rsid w:val="00676FE6"/>
    <w:rsid w:val="00684BAC"/>
    <w:rsid w:val="00686351"/>
    <w:rsid w:val="006865B5"/>
    <w:rsid w:val="00687AC1"/>
    <w:rsid w:val="006913C2"/>
    <w:rsid w:val="00691723"/>
    <w:rsid w:val="00693C06"/>
    <w:rsid w:val="006A1681"/>
    <w:rsid w:val="006A3705"/>
    <w:rsid w:val="006A5557"/>
    <w:rsid w:val="006A73C0"/>
    <w:rsid w:val="006B0261"/>
    <w:rsid w:val="006B3705"/>
    <w:rsid w:val="006B4663"/>
    <w:rsid w:val="006B4F45"/>
    <w:rsid w:val="006B6036"/>
    <w:rsid w:val="006C2F0A"/>
    <w:rsid w:val="006C3AE4"/>
    <w:rsid w:val="006C4218"/>
    <w:rsid w:val="006C4F04"/>
    <w:rsid w:val="006C72A2"/>
    <w:rsid w:val="006C78A3"/>
    <w:rsid w:val="006D0366"/>
    <w:rsid w:val="006D2CD1"/>
    <w:rsid w:val="006D3975"/>
    <w:rsid w:val="006D45C6"/>
    <w:rsid w:val="006E10C1"/>
    <w:rsid w:val="006E1490"/>
    <w:rsid w:val="006E4F1E"/>
    <w:rsid w:val="006E510D"/>
    <w:rsid w:val="006F11A5"/>
    <w:rsid w:val="006F2854"/>
    <w:rsid w:val="006F2F90"/>
    <w:rsid w:val="00701CCC"/>
    <w:rsid w:val="007024FC"/>
    <w:rsid w:val="00703825"/>
    <w:rsid w:val="007038B3"/>
    <w:rsid w:val="007068C6"/>
    <w:rsid w:val="00707E2C"/>
    <w:rsid w:val="00714C9D"/>
    <w:rsid w:val="007178E6"/>
    <w:rsid w:val="00720485"/>
    <w:rsid w:val="007234EF"/>
    <w:rsid w:val="00723A16"/>
    <w:rsid w:val="00724066"/>
    <w:rsid w:val="0072559F"/>
    <w:rsid w:val="00725883"/>
    <w:rsid w:val="00726112"/>
    <w:rsid w:val="007301DE"/>
    <w:rsid w:val="00732650"/>
    <w:rsid w:val="0073521B"/>
    <w:rsid w:val="00737C22"/>
    <w:rsid w:val="007422B0"/>
    <w:rsid w:val="00752BBC"/>
    <w:rsid w:val="00754484"/>
    <w:rsid w:val="007545F9"/>
    <w:rsid w:val="00754A06"/>
    <w:rsid w:val="007570F6"/>
    <w:rsid w:val="00757D02"/>
    <w:rsid w:val="007630BE"/>
    <w:rsid w:val="00763C32"/>
    <w:rsid w:val="00767C2F"/>
    <w:rsid w:val="00772011"/>
    <w:rsid w:val="007743C5"/>
    <w:rsid w:val="00775B25"/>
    <w:rsid w:val="00776618"/>
    <w:rsid w:val="007769E5"/>
    <w:rsid w:val="00780341"/>
    <w:rsid w:val="0078040F"/>
    <w:rsid w:val="007809A4"/>
    <w:rsid w:val="007811BC"/>
    <w:rsid w:val="00781E9F"/>
    <w:rsid w:val="00785A24"/>
    <w:rsid w:val="00790710"/>
    <w:rsid w:val="007935AD"/>
    <w:rsid w:val="007939B0"/>
    <w:rsid w:val="00796033"/>
    <w:rsid w:val="007A6D86"/>
    <w:rsid w:val="007B276B"/>
    <w:rsid w:val="007B302E"/>
    <w:rsid w:val="007B3656"/>
    <w:rsid w:val="007B7A3A"/>
    <w:rsid w:val="007C09EC"/>
    <w:rsid w:val="007C5A0A"/>
    <w:rsid w:val="007C6447"/>
    <w:rsid w:val="007D3CAA"/>
    <w:rsid w:val="007D5C05"/>
    <w:rsid w:val="007D60D8"/>
    <w:rsid w:val="007E0F3D"/>
    <w:rsid w:val="007E3341"/>
    <w:rsid w:val="007E4C95"/>
    <w:rsid w:val="007E7FF2"/>
    <w:rsid w:val="007F3444"/>
    <w:rsid w:val="007F4887"/>
    <w:rsid w:val="007F6341"/>
    <w:rsid w:val="007F73C2"/>
    <w:rsid w:val="007F76CD"/>
    <w:rsid w:val="0080040C"/>
    <w:rsid w:val="00800A95"/>
    <w:rsid w:val="00801711"/>
    <w:rsid w:val="00802EB8"/>
    <w:rsid w:val="0080324C"/>
    <w:rsid w:val="00803F1F"/>
    <w:rsid w:val="00805278"/>
    <w:rsid w:val="008145F5"/>
    <w:rsid w:val="0081688E"/>
    <w:rsid w:val="00822364"/>
    <w:rsid w:val="00824D22"/>
    <w:rsid w:val="00830E1F"/>
    <w:rsid w:val="00831688"/>
    <w:rsid w:val="00834477"/>
    <w:rsid w:val="00841265"/>
    <w:rsid w:val="008518E3"/>
    <w:rsid w:val="00854622"/>
    <w:rsid w:val="00866E69"/>
    <w:rsid w:val="008723CB"/>
    <w:rsid w:val="008741BE"/>
    <w:rsid w:val="00877AF3"/>
    <w:rsid w:val="00882818"/>
    <w:rsid w:val="0088323B"/>
    <w:rsid w:val="00890ADA"/>
    <w:rsid w:val="00892B17"/>
    <w:rsid w:val="008930A0"/>
    <w:rsid w:val="0089505B"/>
    <w:rsid w:val="008952D6"/>
    <w:rsid w:val="00896800"/>
    <w:rsid w:val="008A059A"/>
    <w:rsid w:val="008A0DD2"/>
    <w:rsid w:val="008A19FD"/>
    <w:rsid w:val="008B395D"/>
    <w:rsid w:val="008B4042"/>
    <w:rsid w:val="008B4844"/>
    <w:rsid w:val="008B5F5A"/>
    <w:rsid w:val="008C2E13"/>
    <w:rsid w:val="008C3E42"/>
    <w:rsid w:val="008D3556"/>
    <w:rsid w:val="008D4CA8"/>
    <w:rsid w:val="008E0C55"/>
    <w:rsid w:val="008E1AE1"/>
    <w:rsid w:val="008E39F1"/>
    <w:rsid w:val="008F1482"/>
    <w:rsid w:val="008F157F"/>
    <w:rsid w:val="009022EC"/>
    <w:rsid w:val="009039B7"/>
    <w:rsid w:val="00904014"/>
    <w:rsid w:val="009052D1"/>
    <w:rsid w:val="00907041"/>
    <w:rsid w:val="0090796B"/>
    <w:rsid w:val="0091063E"/>
    <w:rsid w:val="009136D1"/>
    <w:rsid w:val="009158DD"/>
    <w:rsid w:val="00922B38"/>
    <w:rsid w:val="00923CA3"/>
    <w:rsid w:val="0093260F"/>
    <w:rsid w:val="00935FEE"/>
    <w:rsid w:val="00940615"/>
    <w:rsid w:val="00940C38"/>
    <w:rsid w:val="00941D83"/>
    <w:rsid w:val="00943105"/>
    <w:rsid w:val="00943340"/>
    <w:rsid w:val="009467CF"/>
    <w:rsid w:val="0094696B"/>
    <w:rsid w:val="009508E5"/>
    <w:rsid w:val="00950AE6"/>
    <w:rsid w:val="00951AA8"/>
    <w:rsid w:val="00957FA7"/>
    <w:rsid w:val="00962654"/>
    <w:rsid w:val="00965696"/>
    <w:rsid w:val="009675A8"/>
    <w:rsid w:val="0097223E"/>
    <w:rsid w:val="00972B49"/>
    <w:rsid w:val="0097459C"/>
    <w:rsid w:val="00974FF4"/>
    <w:rsid w:val="009758C4"/>
    <w:rsid w:val="00977BA8"/>
    <w:rsid w:val="0098103A"/>
    <w:rsid w:val="009828DC"/>
    <w:rsid w:val="00983A9F"/>
    <w:rsid w:val="00984672"/>
    <w:rsid w:val="0098549D"/>
    <w:rsid w:val="00986F6B"/>
    <w:rsid w:val="00992802"/>
    <w:rsid w:val="00993F2D"/>
    <w:rsid w:val="00997BF8"/>
    <w:rsid w:val="009A273C"/>
    <w:rsid w:val="009A2B87"/>
    <w:rsid w:val="009A58E9"/>
    <w:rsid w:val="009B0939"/>
    <w:rsid w:val="009B2A51"/>
    <w:rsid w:val="009B5A79"/>
    <w:rsid w:val="009B7EEB"/>
    <w:rsid w:val="009C113E"/>
    <w:rsid w:val="009C2E37"/>
    <w:rsid w:val="009D2990"/>
    <w:rsid w:val="009E27B7"/>
    <w:rsid w:val="009E3C08"/>
    <w:rsid w:val="009E57C9"/>
    <w:rsid w:val="009E66A1"/>
    <w:rsid w:val="009E6ED7"/>
    <w:rsid w:val="009E6FE0"/>
    <w:rsid w:val="009F0463"/>
    <w:rsid w:val="009F0E63"/>
    <w:rsid w:val="009F29EA"/>
    <w:rsid w:val="009F506A"/>
    <w:rsid w:val="009F5A8F"/>
    <w:rsid w:val="009F67A4"/>
    <w:rsid w:val="009F6B65"/>
    <w:rsid w:val="009F6F72"/>
    <w:rsid w:val="00A0089E"/>
    <w:rsid w:val="00A04433"/>
    <w:rsid w:val="00A0637A"/>
    <w:rsid w:val="00A10B0D"/>
    <w:rsid w:val="00A10E40"/>
    <w:rsid w:val="00A110B1"/>
    <w:rsid w:val="00A147CD"/>
    <w:rsid w:val="00A23869"/>
    <w:rsid w:val="00A24314"/>
    <w:rsid w:val="00A25E16"/>
    <w:rsid w:val="00A26FC4"/>
    <w:rsid w:val="00A3005D"/>
    <w:rsid w:val="00A32CCF"/>
    <w:rsid w:val="00A34EE8"/>
    <w:rsid w:val="00A375D1"/>
    <w:rsid w:val="00A4218B"/>
    <w:rsid w:val="00A44FA0"/>
    <w:rsid w:val="00A51050"/>
    <w:rsid w:val="00A52EC1"/>
    <w:rsid w:val="00A5446A"/>
    <w:rsid w:val="00A5663A"/>
    <w:rsid w:val="00A5722F"/>
    <w:rsid w:val="00A608EB"/>
    <w:rsid w:val="00A609EC"/>
    <w:rsid w:val="00A61D2B"/>
    <w:rsid w:val="00A62422"/>
    <w:rsid w:val="00A634BA"/>
    <w:rsid w:val="00A65F01"/>
    <w:rsid w:val="00A724EB"/>
    <w:rsid w:val="00A74F9C"/>
    <w:rsid w:val="00A75124"/>
    <w:rsid w:val="00A77BD6"/>
    <w:rsid w:val="00A816DD"/>
    <w:rsid w:val="00A82573"/>
    <w:rsid w:val="00A83941"/>
    <w:rsid w:val="00A85146"/>
    <w:rsid w:val="00A867E2"/>
    <w:rsid w:val="00A87D6A"/>
    <w:rsid w:val="00A9157F"/>
    <w:rsid w:val="00A957C4"/>
    <w:rsid w:val="00AA045B"/>
    <w:rsid w:val="00AA095A"/>
    <w:rsid w:val="00AA1F7E"/>
    <w:rsid w:val="00AA1F91"/>
    <w:rsid w:val="00AA3280"/>
    <w:rsid w:val="00AA5933"/>
    <w:rsid w:val="00AA5AA0"/>
    <w:rsid w:val="00AA5F1C"/>
    <w:rsid w:val="00AA75D4"/>
    <w:rsid w:val="00AB0589"/>
    <w:rsid w:val="00AB1CBE"/>
    <w:rsid w:val="00AC1062"/>
    <w:rsid w:val="00AC11AE"/>
    <w:rsid w:val="00AC1908"/>
    <w:rsid w:val="00AC387F"/>
    <w:rsid w:val="00AC7874"/>
    <w:rsid w:val="00AD06A6"/>
    <w:rsid w:val="00AD2129"/>
    <w:rsid w:val="00AD2672"/>
    <w:rsid w:val="00AD5993"/>
    <w:rsid w:val="00AE1303"/>
    <w:rsid w:val="00AE1B0C"/>
    <w:rsid w:val="00AE7552"/>
    <w:rsid w:val="00AF159D"/>
    <w:rsid w:val="00AF5FA3"/>
    <w:rsid w:val="00AF63CA"/>
    <w:rsid w:val="00B008E3"/>
    <w:rsid w:val="00B11AB0"/>
    <w:rsid w:val="00B12D51"/>
    <w:rsid w:val="00B171FE"/>
    <w:rsid w:val="00B20E71"/>
    <w:rsid w:val="00B21ED9"/>
    <w:rsid w:val="00B226BD"/>
    <w:rsid w:val="00B31298"/>
    <w:rsid w:val="00B33CB5"/>
    <w:rsid w:val="00B358C3"/>
    <w:rsid w:val="00B372A8"/>
    <w:rsid w:val="00B417F3"/>
    <w:rsid w:val="00B425D0"/>
    <w:rsid w:val="00B440D5"/>
    <w:rsid w:val="00B510F4"/>
    <w:rsid w:val="00B55307"/>
    <w:rsid w:val="00B603C6"/>
    <w:rsid w:val="00B606ED"/>
    <w:rsid w:val="00B6642F"/>
    <w:rsid w:val="00B66D08"/>
    <w:rsid w:val="00B70189"/>
    <w:rsid w:val="00B744FB"/>
    <w:rsid w:val="00B77413"/>
    <w:rsid w:val="00B81557"/>
    <w:rsid w:val="00B83660"/>
    <w:rsid w:val="00B8778A"/>
    <w:rsid w:val="00B87C81"/>
    <w:rsid w:val="00B90324"/>
    <w:rsid w:val="00B916BB"/>
    <w:rsid w:val="00B918A8"/>
    <w:rsid w:val="00B97816"/>
    <w:rsid w:val="00BA05BE"/>
    <w:rsid w:val="00BA3D61"/>
    <w:rsid w:val="00BA4724"/>
    <w:rsid w:val="00BA5047"/>
    <w:rsid w:val="00BB3FC6"/>
    <w:rsid w:val="00BB422B"/>
    <w:rsid w:val="00BB589D"/>
    <w:rsid w:val="00BB6891"/>
    <w:rsid w:val="00BC28AC"/>
    <w:rsid w:val="00BC47D1"/>
    <w:rsid w:val="00BD0B73"/>
    <w:rsid w:val="00BD17DF"/>
    <w:rsid w:val="00BE32D0"/>
    <w:rsid w:val="00BE391D"/>
    <w:rsid w:val="00BE3C6A"/>
    <w:rsid w:val="00BE6E33"/>
    <w:rsid w:val="00BF02AC"/>
    <w:rsid w:val="00BF3319"/>
    <w:rsid w:val="00BF3396"/>
    <w:rsid w:val="00BF36B5"/>
    <w:rsid w:val="00BF53A6"/>
    <w:rsid w:val="00BF5EB3"/>
    <w:rsid w:val="00BF65F3"/>
    <w:rsid w:val="00BF757D"/>
    <w:rsid w:val="00BF7F90"/>
    <w:rsid w:val="00C00DC7"/>
    <w:rsid w:val="00C0556F"/>
    <w:rsid w:val="00C079F0"/>
    <w:rsid w:val="00C136F8"/>
    <w:rsid w:val="00C178BC"/>
    <w:rsid w:val="00C21130"/>
    <w:rsid w:val="00C2143D"/>
    <w:rsid w:val="00C23BF5"/>
    <w:rsid w:val="00C247FF"/>
    <w:rsid w:val="00C25EF3"/>
    <w:rsid w:val="00C27D3B"/>
    <w:rsid w:val="00C30B06"/>
    <w:rsid w:val="00C30F49"/>
    <w:rsid w:val="00C314D3"/>
    <w:rsid w:val="00C34D9C"/>
    <w:rsid w:val="00C351C5"/>
    <w:rsid w:val="00C35973"/>
    <w:rsid w:val="00C367DE"/>
    <w:rsid w:val="00C36BE9"/>
    <w:rsid w:val="00C405F8"/>
    <w:rsid w:val="00C40B38"/>
    <w:rsid w:val="00C441B9"/>
    <w:rsid w:val="00C44447"/>
    <w:rsid w:val="00C54D47"/>
    <w:rsid w:val="00C554DF"/>
    <w:rsid w:val="00C5624C"/>
    <w:rsid w:val="00C63396"/>
    <w:rsid w:val="00C63FC9"/>
    <w:rsid w:val="00C7190A"/>
    <w:rsid w:val="00C71FBB"/>
    <w:rsid w:val="00C77942"/>
    <w:rsid w:val="00C83327"/>
    <w:rsid w:val="00C86409"/>
    <w:rsid w:val="00C87A06"/>
    <w:rsid w:val="00C90A1A"/>
    <w:rsid w:val="00C90F21"/>
    <w:rsid w:val="00C91069"/>
    <w:rsid w:val="00C92DF0"/>
    <w:rsid w:val="00C930B9"/>
    <w:rsid w:val="00C95F4D"/>
    <w:rsid w:val="00CA11C7"/>
    <w:rsid w:val="00CA436F"/>
    <w:rsid w:val="00CA7219"/>
    <w:rsid w:val="00CB1E8F"/>
    <w:rsid w:val="00CB3DAD"/>
    <w:rsid w:val="00CB543D"/>
    <w:rsid w:val="00CB6178"/>
    <w:rsid w:val="00CC0B1D"/>
    <w:rsid w:val="00CC1794"/>
    <w:rsid w:val="00CC56DA"/>
    <w:rsid w:val="00CC56EE"/>
    <w:rsid w:val="00CC6BF1"/>
    <w:rsid w:val="00CC7E3A"/>
    <w:rsid w:val="00CD0090"/>
    <w:rsid w:val="00CD1EA1"/>
    <w:rsid w:val="00CD4D63"/>
    <w:rsid w:val="00CD73DD"/>
    <w:rsid w:val="00CE196A"/>
    <w:rsid w:val="00CE4F43"/>
    <w:rsid w:val="00CE70E2"/>
    <w:rsid w:val="00CF0DE2"/>
    <w:rsid w:val="00CF1968"/>
    <w:rsid w:val="00CF237B"/>
    <w:rsid w:val="00CF289D"/>
    <w:rsid w:val="00CF706E"/>
    <w:rsid w:val="00D00F2E"/>
    <w:rsid w:val="00D00FAE"/>
    <w:rsid w:val="00D03962"/>
    <w:rsid w:val="00D04719"/>
    <w:rsid w:val="00D05970"/>
    <w:rsid w:val="00D05BC7"/>
    <w:rsid w:val="00D11DC5"/>
    <w:rsid w:val="00D11FEC"/>
    <w:rsid w:val="00D129EC"/>
    <w:rsid w:val="00D129FA"/>
    <w:rsid w:val="00D146AE"/>
    <w:rsid w:val="00D31930"/>
    <w:rsid w:val="00D31EB1"/>
    <w:rsid w:val="00D35B24"/>
    <w:rsid w:val="00D37A90"/>
    <w:rsid w:val="00D37BA8"/>
    <w:rsid w:val="00D42B2A"/>
    <w:rsid w:val="00D452DB"/>
    <w:rsid w:val="00D4562C"/>
    <w:rsid w:val="00D46636"/>
    <w:rsid w:val="00D50B91"/>
    <w:rsid w:val="00D61F3B"/>
    <w:rsid w:val="00D64394"/>
    <w:rsid w:val="00D64A71"/>
    <w:rsid w:val="00D677CF"/>
    <w:rsid w:val="00D70C23"/>
    <w:rsid w:val="00D80120"/>
    <w:rsid w:val="00D80165"/>
    <w:rsid w:val="00D8116C"/>
    <w:rsid w:val="00D83446"/>
    <w:rsid w:val="00D86501"/>
    <w:rsid w:val="00D86BE7"/>
    <w:rsid w:val="00D8720D"/>
    <w:rsid w:val="00D875E2"/>
    <w:rsid w:val="00D87644"/>
    <w:rsid w:val="00D918A0"/>
    <w:rsid w:val="00D93888"/>
    <w:rsid w:val="00D940C7"/>
    <w:rsid w:val="00D95264"/>
    <w:rsid w:val="00D955D8"/>
    <w:rsid w:val="00DA6A06"/>
    <w:rsid w:val="00DA79BC"/>
    <w:rsid w:val="00DB2F35"/>
    <w:rsid w:val="00DB411A"/>
    <w:rsid w:val="00DB5933"/>
    <w:rsid w:val="00DC11E7"/>
    <w:rsid w:val="00DC18A9"/>
    <w:rsid w:val="00DC37A3"/>
    <w:rsid w:val="00DC5B53"/>
    <w:rsid w:val="00DD0941"/>
    <w:rsid w:val="00DD2F4E"/>
    <w:rsid w:val="00DD3356"/>
    <w:rsid w:val="00DD76F4"/>
    <w:rsid w:val="00DE18EB"/>
    <w:rsid w:val="00DE32C3"/>
    <w:rsid w:val="00DE3A5B"/>
    <w:rsid w:val="00DE6456"/>
    <w:rsid w:val="00DE7F45"/>
    <w:rsid w:val="00DF052E"/>
    <w:rsid w:val="00DF4559"/>
    <w:rsid w:val="00DF6A48"/>
    <w:rsid w:val="00E00B02"/>
    <w:rsid w:val="00E0369E"/>
    <w:rsid w:val="00E043F8"/>
    <w:rsid w:val="00E05BDE"/>
    <w:rsid w:val="00E07DD7"/>
    <w:rsid w:val="00E11111"/>
    <w:rsid w:val="00E11707"/>
    <w:rsid w:val="00E13A47"/>
    <w:rsid w:val="00E1550D"/>
    <w:rsid w:val="00E15824"/>
    <w:rsid w:val="00E16E42"/>
    <w:rsid w:val="00E21589"/>
    <w:rsid w:val="00E25EEC"/>
    <w:rsid w:val="00E305F2"/>
    <w:rsid w:val="00E30D7F"/>
    <w:rsid w:val="00E31EFC"/>
    <w:rsid w:val="00E330AA"/>
    <w:rsid w:val="00E330CF"/>
    <w:rsid w:val="00E36625"/>
    <w:rsid w:val="00E404CB"/>
    <w:rsid w:val="00E41A5E"/>
    <w:rsid w:val="00E459A0"/>
    <w:rsid w:val="00E5105E"/>
    <w:rsid w:val="00E514C8"/>
    <w:rsid w:val="00E52634"/>
    <w:rsid w:val="00E63D65"/>
    <w:rsid w:val="00E6592F"/>
    <w:rsid w:val="00E67B8D"/>
    <w:rsid w:val="00E707E3"/>
    <w:rsid w:val="00E70B3F"/>
    <w:rsid w:val="00E71211"/>
    <w:rsid w:val="00E71D3A"/>
    <w:rsid w:val="00E7436A"/>
    <w:rsid w:val="00E74D7E"/>
    <w:rsid w:val="00E75AAF"/>
    <w:rsid w:val="00E7679A"/>
    <w:rsid w:val="00E772F5"/>
    <w:rsid w:val="00E83101"/>
    <w:rsid w:val="00E8470E"/>
    <w:rsid w:val="00E87CB9"/>
    <w:rsid w:val="00E9204D"/>
    <w:rsid w:val="00E935AC"/>
    <w:rsid w:val="00E95FDD"/>
    <w:rsid w:val="00E97F6E"/>
    <w:rsid w:val="00EA76D8"/>
    <w:rsid w:val="00EB2A50"/>
    <w:rsid w:val="00EB2A60"/>
    <w:rsid w:val="00EB5F08"/>
    <w:rsid w:val="00EB7268"/>
    <w:rsid w:val="00ED1750"/>
    <w:rsid w:val="00ED43B9"/>
    <w:rsid w:val="00ED5439"/>
    <w:rsid w:val="00ED658A"/>
    <w:rsid w:val="00EE073E"/>
    <w:rsid w:val="00EE5B75"/>
    <w:rsid w:val="00EF0793"/>
    <w:rsid w:val="00EF6A24"/>
    <w:rsid w:val="00EF7B85"/>
    <w:rsid w:val="00F01F8B"/>
    <w:rsid w:val="00F044DD"/>
    <w:rsid w:val="00F10480"/>
    <w:rsid w:val="00F109B3"/>
    <w:rsid w:val="00F11001"/>
    <w:rsid w:val="00F12D26"/>
    <w:rsid w:val="00F12DD7"/>
    <w:rsid w:val="00F12FBD"/>
    <w:rsid w:val="00F158FA"/>
    <w:rsid w:val="00F15F1A"/>
    <w:rsid w:val="00F16B7F"/>
    <w:rsid w:val="00F175B4"/>
    <w:rsid w:val="00F17C61"/>
    <w:rsid w:val="00F201C9"/>
    <w:rsid w:val="00F22CC7"/>
    <w:rsid w:val="00F2630D"/>
    <w:rsid w:val="00F27E4A"/>
    <w:rsid w:val="00F30266"/>
    <w:rsid w:val="00F31609"/>
    <w:rsid w:val="00F344C6"/>
    <w:rsid w:val="00F352C7"/>
    <w:rsid w:val="00F36C6B"/>
    <w:rsid w:val="00F4332F"/>
    <w:rsid w:val="00F434FC"/>
    <w:rsid w:val="00F47E25"/>
    <w:rsid w:val="00F505FA"/>
    <w:rsid w:val="00F50A4A"/>
    <w:rsid w:val="00F53532"/>
    <w:rsid w:val="00F66A19"/>
    <w:rsid w:val="00F66A91"/>
    <w:rsid w:val="00F67EAD"/>
    <w:rsid w:val="00F74319"/>
    <w:rsid w:val="00F777B2"/>
    <w:rsid w:val="00F77A3B"/>
    <w:rsid w:val="00F80937"/>
    <w:rsid w:val="00F81D4C"/>
    <w:rsid w:val="00F81E15"/>
    <w:rsid w:val="00F81E97"/>
    <w:rsid w:val="00F83749"/>
    <w:rsid w:val="00F8470E"/>
    <w:rsid w:val="00F95B66"/>
    <w:rsid w:val="00F97D16"/>
    <w:rsid w:val="00F97FCB"/>
    <w:rsid w:val="00FA0A28"/>
    <w:rsid w:val="00FA1C33"/>
    <w:rsid w:val="00FA24D0"/>
    <w:rsid w:val="00FA2EC8"/>
    <w:rsid w:val="00FA3151"/>
    <w:rsid w:val="00FA3CBD"/>
    <w:rsid w:val="00FA594B"/>
    <w:rsid w:val="00FA7C7A"/>
    <w:rsid w:val="00FB026B"/>
    <w:rsid w:val="00FB2A4D"/>
    <w:rsid w:val="00FB53A2"/>
    <w:rsid w:val="00FB5593"/>
    <w:rsid w:val="00FB6799"/>
    <w:rsid w:val="00FC0DCE"/>
    <w:rsid w:val="00FC2C98"/>
    <w:rsid w:val="00FC3303"/>
    <w:rsid w:val="00FC6C3D"/>
    <w:rsid w:val="00FD1D4A"/>
    <w:rsid w:val="00FD3D4D"/>
    <w:rsid w:val="00FD4E66"/>
    <w:rsid w:val="00FD609E"/>
    <w:rsid w:val="00FD7D5F"/>
    <w:rsid w:val="00FE69F9"/>
    <w:rsid w:val="00FF093C"/>
    <w:rsid w:val="00FF317A"/>
    <w:rsid w:val="00FF61E8"/>
    <w:rsid w:val="00FF6346"/>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80B54F"/>
  <w15:docId w15:val="{A5A4F104-496F-4073-96EA-21E15961B6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18"/>
        <w:szCs w:val="18"/>
        <w:lang w:val="en-GB" w:eastAsia="en-US" w:bidi="ar-SA"/>
      </w:rPr>
    </w:rPrDefault>
    <w:pPrDefault/>
  </w:docDefaults>
  <w:latentStyles w:defLockedState="0" w:defUIPriority="99" w:defSemiHidden="0" w:defUnhideWhenUsed="0" w:defQFormat="0" w:count="371">
    <w:lsdException w:name="Normal" w:uiPriority="1" w:qFormat="1"/>
    <w:lsdException w:name="heading 1" w:uiPriority="2" w:qFormat="1"/>
    <w:lsdException w:name="heading 2" w:semiHidden="1" w:uiPriority="3" w:qFormat="1"/>
    <w:lsdException w:name="heading 3" w:semiHidden="1" w:uiPriority="4" w:qFormat="1"/>
    <w:lsdException w:name="heading 4" w:semiHidden="1" w:uiPriority="5"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24"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8" w:qFormat="1"/>
    <w:lsdException w:name="List Number" w:semiHidden="1" w:uiPriority="1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 w:qFormat="1"/>
    <w:lsdException w:name="List Bullet 3" w:semiHidden="1" w:uiPriority="10" w:qFormat="1"/>
    <w:lsdException w:name="List Bullet 4" w:semiHidden="1" w:unhideWhenUsed="1"/>
    <w:lsdException w:name="List Bullet 5" w:semiHidden="1" w:unhideWhenUsed="1"/>
    <w:lsdException w:name="List Number 2" w:semiHidden="1" w:uiPriority="12" w:qFormat="1"/>
    <w:lsdException w:name="List Number 3" w:semiHidden="1" w:uiPriority="13" w:qFormat="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26" w:qFormat="1"/>
    <w:lsdException w:name="FollowedHyperlink" w:semiHidden="1" w:uiPriority="27" w:qFormat="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nhideWhenUsed="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1"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unhideWhenUsed="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B7A3A"/>
    <w:pPr>
      <w:tabs>
        <w:tab w:val="left" w:pos="284"/>
      </w:tabs>
      <w:spacing w:line="240" w:lineRule="atLeast"/>
    </w:pPr>
    <w:rPr>
      <w:kern w:val="18"/>
      <w:sz w:val="20"/>
      <w:lang w:val="en-US"/>
    </w:rPr>
  </w:style>
  <w:style w:type="paragraph" w:styleId="Heading1">
    <w:name w:val="heading 1"/>
    <w:basedOn w:val="Normal"/>
    <w:next w:val="BodyText"/>
    <w:link w:val="Heading1Char"/>
    <w:uiPriority w:val="2"/>
    <w:qFormat/>
    <w:rsid w:val="007B7A3A"/>
    <w:pPr>
      <w:keepNext/>
      <w:keepLines/>
      <w:numPr>
        <w:numId w:val="20"/>
      </w:numPr>
      <w:tabs>
        <w:tab w:val="clear" w:pos="284"/>
      </w:tabs>
      <w:spacing w:before="180" w:after="180" w:line="264" w:lineRule="auto"/>
      <w:outlineLvl w:val="0"/>
    </w:pPr>
    <w:rPr>
      <w:rFonts w:asciiTheme="majorHAnsi" w:eastAsiaTheme="majorEastAsia" w:hAnsiTheme="majorHAnsi" w:cstheme="majorBidi"/>
      <w:b/>
      <w:bCs/>
      <w:color w:val="00B5E2" w:themeColor="accent1"/>
      <w:sz w:val="32"/>
      <w:szCs w:val="28"/>
    </w:rPr>
  </w:style>
  <w:style w:type="paragraph" w:styleId="Heading2">
    <w:name w:val="heading 2"/>
    <w:basedOn w:val="Normal"/>
    <w:next w:val="BodyText"/>
    <w:link w:val="Heading2Char"/>
    <w:uiPriority w:val="3"/>
    <w:qFormat/>
    <w:rsid w:val="007B7A3A"/>
    <w:pPr>
      <w:keepNext/>
      <w:keepLines/>
      <w:numPr>
        <w:ilvl w:val="1"/>
        <w:numId w:val="20"/>
      </w:numPr>
      <w:tabs>
        <w:tab w:val="clear" w:pos="284"/>
      </w:tabs>
      <w:spacing w:before="240" w:after="180" w:line="264" w:lineRule="auto"/>
      <w:outlineLvl w:val="1"/>
    </w:pPr>
    <w:rPr>
      <w:rFonts w:asciiTheme="majorHAnsi" w:eastAsiaTheme="majorEastAsia" w:hAnsiTheme="majorHAnsi" w:cstheme="majorBidi"/>
      <w:bCs/>
      <w:color w:val="00B5E2" w:themeColor="accent1"/>
      <w:sz w:val="28"/>
      <w:szCs w:val="26"/>
    </w:rPr>
  </w:style>
  <w:style w:type="paragraph" w:styleId="Heading3">
    <w:name w:val="heading 3"/>
    <w:basedOn w:val="Normal"/>
    <w:next w:val="BodyText"/>
    <w:link w:val="Heading3Char"/>
    <w:uiPriority w:val="4"/>
    <w:qFormat/>
    <w:rsid w:val="007B7A3A"/>
    <w:pPr>
      <w:keepNext/>
      <w:keepLines/>
      <w:numPr>
        <w:ilvl w:val="2"/>
        <w:numId w:val="20"/>
      </w:numPr>
      <w:tabs>
        <w:tab w:val="clear" w:pos="284"/>
      </w:tabs>
      <w:spacing w:before="240" w:after="180" w:line="264" w:lineRule="auto"/>
      <w:outlineLvl w:val="2"/>
    </w:pPr>
    <w:rPr>
      <w:rFonts w:asciiTheme="majorHAnsi" w:eastAsiaTheme="majorEastAsia" w:hAnsiTheme="majorHAnsi" w:cstheme="majorBidi"/>
      <w:bCs/>
      <w:color w:val="00B5E2" w:themeColor="accent1"/>
      <w:sz w:val="24"/>
    </w:rPr>
  </w:style>
  <w:style w:type="paragraph" w:styleId="Heading4">
    <w:name w:val="heading 4"/>
    <w:basedOn w:val="Normal"/>
    <w:next w:val="BodyText"/>
    <w:link w:val="Heading4Char"/>
    <w:uiPriority w:val="5"/>
    <w:qFormat/>
    <w:rsid w:val="007B7A3A"/>
    <w:pPr>
      <w:keepNext/>
      <w:keepLines/>
      <w:numPr>
        <w:ilvl w:val="3"/>
        <w:numId w:val="20"/>
      </w:numPr>
      <w:tabs>
        <w:tab w:val="clear" w:pos="284"/>
      </w:tabs>
      <w:spacing w:before="240" w:after="180" w:line="264" w:lineRule="auto"/>
      <w:outlineLvl w:val="3"/>
    </w:pPr>
    <w:rPr>
      <w:rFonts w:asciiTheme="majorHAnsi" w:eastAsiaTheme="majorEastAsia" w:hAnsiTheme="majorHAnsi" w:cstheme="majorBidi"/>
      <w:bCs/>
      <w:iCs/>
    </w:rPr>
  </w:style>
  <w:style w:type="paragraph" w:styleId="Heading5">
    <w:name w:val="heading 5"/>
    <w:basedOn w:val="Normal"/>
    <w:next w:val="BodyText"/>
    <w:link w:val="Heading5Char"/>
    <w:uiPriority w:val="9"/>
    <w:semiHidden/>
    <w:unhideWhenUsed/>
    <w:rsid w:val="002770A0"/>
    <w:pPr>
      <w:keepNext/>
      <w:keepLines/>
      <w:numPr>
        <w:ilvl w:val="4"/>
        <w:numId w:val="20"/>
      </w:numPr>
      <w:spacing w:before="120"/>
      <w:outlineLvl w:val="4"/>
    </w:pPr>
    <w:rPr>
      <w:rFonts w:asciiTheme="majorHAnsi" w:eastAsiaTheme="majorEastAsia" w:hAnsiTheme="majorHAnsi" w:cstheme="majorBidi"/>
      <w:b/>
      <w:color w:val="00B5E2" w:themeColor="accent1"/>
    </w:rPr>
  </w:style>
  <w:style w:type="paragraph" w:styleId="Heading6">
    <w:name w:val="heading 6"/>
    <w:basedOn w:val="Normal"/>
    <w:next w:val="Normal"/>
    <w:link w:val="Heading6Char"/>
    <w:uiPriority w:val="9"/>
    <w:semiHidden/>
    <w:unhideWhenUsed/>
    <w:rsid w:val="00582989"/>
    <w:pPr>
      <w:keepNext/>
      <w:keepLines/>
      <w:numPr>
        <w:ilvl w:val="5"/>
        <w:numId w:val="20"/>
      </w:numPr>
      <w:spacing w:before="200"/>
      <w:outlineLvl w:val="5"/>
    </w:pPr>
    <w:rPr>
      <w:rFonts w:asciiTheme="majorHAnsi" w:eastAsiaTheme="majorEastAsia" w:hAnsiTheme="majorHAnsi" w:cstheme="majorBidi"/>
      <w:i/>
      <w:iCs/>
      <w:color w:val="005970" w:themeColor="accent1" w:themeShade="7F"/>
    </w:rPr>
  </w:style>
  <w:style w:type="paragraph" w:styleId="Heading7">
    <w:name w:val="heading 7"/>
    <w:basedOn w:val="Normal"/>
    <w:next w:val="Normal"/>
    <w:link w:val="Heading7Char"/>
    <w:uiPriority w:val="9"/>
    <w:semiHidden/>
    <w:unhideWhenUsed/>
    <w:rsid w:val="00582989"/>
    <w:pPr>
      <w:keepNext/>
      <w:keepLines/>
      <w:numPr>
        <w:ilvl w:val="6"/>
        <w:numId w:val="20"/>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rsid w:val="00582989"/>
    <w:pPr>
      <w:keepNext/>
      <w:keepLines/>
      <w:numPr>
        <w:ilvl w:val="7"/>
        <w:numId w:val="20"/>
      </w:numPr>
      <w:spacing w:before="200"/>
      <w:outlineLvl w:val="7"/>
    </w:pPr>
    <w:rPr>
      <w:rFonts w:asciiTheme="majorHAnsi" w:eastAsiaTheme="majorEastAsia" w:hAnsiTheme="majorHAnsi" w:cstheme="majorBidi"/>
      <w:color w:val="404040" w:themeColor="text1" w:themeTint="BF"/>
      <w:szCs w:val="20"/>
    </w:rPr>
  </w:style>
  <w:style w:type="paragraph" w:styleId="Heading9">
    <w:name w:val="heading 9"/>
    <w:basedOn w:val="Normal"/>
    <w:next w:val="Normal"/>
    <w:link w:val="Heading9Char"/>
    <w:uiPriority w:val="9"/>
    <w:unhideWhenUsed/>
    <w:rsid w:val="00582989"/>
    <w:pPr>
      <w:keepNext/>
      <w:keepLines/>
      <w:numPr>
        <w:ilvl w:val="8"/>
        <w:numId w:val="20"/>
      </w:numPr>
      <w:spacing w:before="20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
    <w:rsid w:val="007B7A3A"/>
    <w:rPr>
      <w:rFonts w:asciiTheme="majorHAnsi" w:eastAsiaTheme="majorEastAsia" w:hAnsiTheme="majorHAnsi" w:cstheme="majorBidi"/>
      <w:b/>
      <w:bCs/>
      <w:color w:val="00B5E2" w:themeColor="accent1"/>
      <w:kern w:val="18"/>
      <w:sz w:val="32"/>
      <w:szCs w:val="28"/>
      <w:lang w:val="en-US"/>
    </w:rPr>
  </w:style>
  <w:style w:type="character" w:customStyle="1" w:styleId="Heading2Char">
    <w:name w:val="Heading 2 Char"/>
    <w:basedOn w:val="DefaultParagraphFont"/>
    <w:link w:val="Heading2"/>
    <w:uiPriority w:val="3"/>
    <w:rsid w:val="007B7A3A"/>
    <w:rPr>
      <w:rFonts w:asciiTheme="majorHAnsi" w:eastAsiaTheme="majorEastAsia" w:hAnsiTheme="majorHAnsi" w:cstheme="majorBidi"/>
      <w:bCs/>
      <w:color w:val="00B5E2" w:themeColor="accent1"/>
      <w:kern w:val="18"/>
      <w:sz w:val="28"/>
      <w:szCs w:val="26"/>
      <w:lang w:val="en-US"/>
    </w:rPr>
  </w:style>
  <w:style w:type="character" w:customStyle="1" w:styleId="Heading3Char">
    <w:name w:val="Heading 3 Char"/>
    <w:basedOn w:val="DefaultParagraphFont"/>
    <w:link w:val="Heading3"/>
    <w:uiPriority w:val="4"/>
    <w:rsid w:val="007B7A3A"/>
    <w:rPr>
      <w:rFonts w:asciiTheme="majorHAnsi" w:eastAsiaTheme="majorEastAsia" w:hAnsiTheme="majorHAnsi" w:cstheme="majorBidi"/>
      <w:bCs/>
      <w:color w:val="00B5E2" w:themeColor="accent1"/>
      <w:kern w:val="18"/>
      <w:sz w:val="24"/>
      <w:lang w:val="en-US"/>
    </w:rPr>
  </w:style>
  <w:style w:type="paragraph" w:styleId="ListNumber">
    <w:name w:val="List Number"/>
    <w:basedOn w:val="Normal"/>
    <w:uiPriority w:val="11"/>
    <w:qFormat/>
    <w:rsid w:val="00790710"/>
    <w:pPr>
      <w:numPr>
        <w:numId w:val="15"/>
      </w:numPr>
      <w:tabs>
        <w:tab w:val="clear" w:pos="284"/>
      </w:tabs>
      <w:spacing w:after="120"/>
    </w:pPr>
  </w:style>
  <w:style w:type="paragraph" w:styleId="ListNumber2">
    <w:name w:val="List Number 2"/>
    <w:basedOn w:val="Normal"/>
    <w:uiPriority w:val="12"/>
    <w:qFormat/>
    <w:rsid w:val="00790710"/>
    <w:pPr>
      <w:numPr>
        <w:ilvl w:val="1"/>
        <w:numId w:val="15"/>
      </w:numPr>
      <w:tabs>
        <w:tab w:val="clear" w:pos="284"/>
      </w:tabs>
      <w:spacing w:after="120"/>
    </w:pPr>
  </w:style>
  <w:style w:type="paragraph" w:styleId="ListNumber3">
    <w:name w:val="List Number 3"/>
    <w:basedOn w:val="Normal"/>
    <w:uiPriority w:val="13"/>
    <w:qFormat/>
    <w:rsid w:val="00790710"/>
    <w:pPr>
      <w:numPr>
        <w:ilvl w:val="2"/>
        <w:numId w:val="15"/>
      </w:numPr>
      <w:tabs>
        <w:tab w:val="clear" w:pos="284"/>
      </w:tabs>
      <w:spacing w:after="120"/>
    </w:pPr>
  </w:style>
  <w:style w:type="paragraph" w:styleId="ListBullet">
    <w:name w:val="List Bullet"/>
    <w:basedOn w:val="Normal"/>
    <w:uiPriority w:val="8"/>
    <w:qFormat/>
    <w:rsid w:val="00790710"/>
    <w:pPr>
      <w:numPr>
        <w:numId w:val="14"/>
      </w:numPr>
      <w:tabs>
        <w:tab w:val="clear" w:pos="284"/>
      </w:tabs>
      <w:spacing w:after="120"/>
    </w:pPr>
  </w:style>
  <w:style w:type="paragraph" w:styleId="ListBullet2">
    <w:name w:val="List Bullet 2"/>
    <w:basedOn w:val="Normal"/>
    <w:uiPriority w:val="9"/>
    <w:qFormat/>
    <w:rsid w:val="00790710"/>
    <w:pPr>
      <w:numPr>
        <w:ilvl w:val="1"/>
        <w:numId w:val="14"/>
      </w:numPr>
      <w:tabs>
        <w:tab w:val="clear" w:pos="284"/>
      </w:tabs>
      <w:spacing w:after="120"/>
    </w:pPr>
  </w:style>
  <w:style w:type="paragraph" w:styleId="ListBullet3">
    <w:name w:val="List Bullet 3"/>
    <w:basedOn w:val="Normal"/>
    <w:uiPriority w:val="10"/>
    <w:qFormat/>
    <w:rsid w:val="00790710"/>
    <w:pPr>
      <w:numPr>
        <w:ilvl w:val="2"/>
        <w:numId w:val="14"/>
      </w:numPr>
      <w:tabs>
        <w:tab w:val="clear" w:pos="284"/>
      </w:tabs>
      <w:spacing w:after="120"/>
    </w:pPr>
  </w:style>
  <w:style w:type="character" w:customStyle="1" w:styleId="Heading4Char">
    <w:name w:val="Heading 4 Char"/>
    <w:basedOn w:val="DefaultParagraphFont"/>
    <w:link w:val="Heading4"/>
    <w:uiPriority w:val="5"/>
    <w:rsid w:val="007B7A3A"/>
    <w:rPr>
      <w:rFonts w:asciiTheme="majorHAnsi" w:eastAsiaTheme="majorEastAsia" w:hAnsiTheme="majorHAnsi" w:cstheme="majorBidi"/>
      <w:bCs/>
      <w:iCs/>
      <w:kern w:val="18"/>
      <w:sz w:val="20"/>
      <w:lang w:val="en-US"/>
    </w:rPr>
  </w:style>
  <w:style w:type="numbering" w:customStyle="1" w:styleId="AECOMBullets">
    <w:name w:val="AECOM_Bullets"/>
    <w:basedOn w:val="NoList"/>
    <w:uiPriority w:val="99"/>
    <w:semiHidden/>
    <w:unhideWhenUsed/>
    <w:rsid w:val="00C86409"/>
    <w:pPr>
      <w:numPr>
        <w:numId w:val="1"/>
      </w:numPr>
    </w:pPr>
  </w:style>
  <w:style w:type="character" w:customStyle="1" w:styleId="Heading5Char">
    <w:name w:val="Heading 5 Char"/>
    <w:basedOn w:val="DefaultParagraphFont"/>
    <w:link w:val="Heading5"/>
    <w:uiPriority w:val="9"/>
    <w:semiHidden/>
    <w:rsid w:val="00F66A91"/>
    <w:rPr>
      <w:rFonts w:asciiTheme="majorHAnsi" w:eastAsiaTheme="majorEastAsia" w:hAnsiTheme="majorHAnsi" w:cstheme="majorBidi"/>
      <w:b/>
      <w:color w:val="00B5E2" w:themeColor="accent1"/>
      <w:kern w:val="18"/>
      <w:sz w:val="20"/>
      <w:lang w:val="en-US"/>
    </w:rPr>
  </w:style>
  <w:style w:type="paragraph" w:styleId="BodyText">
    <w:name w:val="Body Text"/>
    <w:basedOn w:val="Normal"/>
    <w:link w:val="BodyTextChar"/>
    <w:qFormat/>
    <w:rsid w:val="00676FE6"/>
    <w:pPr>
      <w:spacing w:after="180"/>
    </w:pPr>
  </w:style>
  <w:style w:type="numbering" w:customStyle="1" w:styleId="AECOMList">
    <w:name w:val="AECOM_List"/>
    <w:basedOn w:val="NoList"/>
    <w:uiPriority w:val="99"/>
    <w:semiHidden/>
    <w:unhideWhenUsed/>
    <w:rsid w:val="00323654"/>
    <w:pPr>
      <w:numPr>
        <w:numId w:val="2"/>
      </w:numPr>
    </w:pPr>
  </w:style>
  <w:style w:type="character" w:customStyle="1" w:styleId="BodyTextChar">
    <w:name w:val="Body Text Char"/>
    <w:basedOn w:val="DefaultParagraphFont"/>
    <w:link w:val="BodyText"/>
    <w:semiHidden/>
    <w:rsid w:val="00F66A91"/>
    <w:rPr>
      <w:kern w:val="18"/>
    </w:rPr>
  </w:style>
  <w:style w:type="paragraph" w:customStyle="1" w:styleId="CoverTitle">
    <w:name w:val="Cover Title"/>
    <w:basedOn w:val="Normal"/>
    <w:next w:val="BodyText"/>
    <w:semiHidden/>
    <w:unhideWhenUsed/>
    <w:rsid w:val="00DD3356"/>
    <w:pPr>
      <w:spacing w:before="360" w:after="360" w:line="900" w:lineRule="atLeast"/>
    </w:pPr>
    <w:rPr>
      <w:rFonts w:asciiTheme="majorHAnsi" w:hAnsiTheme="majorHAnsi"/>
      <w:b/>
      <w:color w:val="00B5E2" w:themeColor="accent1"/>
      <w:sz w:val="80"/>
    </w:rPr>
  </w:style>
  <w:style w:type="paragraph" w:customStyle="1" w:styleId="SectionTitle">
    <w:name w:val="Section Title"/>
    <w:basedOn w:val="BodyText"/>
    <w:next w:val="BodyText"/>
    <w:semiHidden/>
    <w:unhideWhenUsed/>
    <w:rsid w:val="00D129FA"/>
    <w:pPr>
      <w:spacing w:before="360" w:after="360" w:line="660" w:lineRule="atLeast"/>
      <w:jc w:val="right"/>
    </w:pPr>
    <w:rPr>
      <w:rFonts w:asciiTheme="majorHAnsi" w:hAnsiTheme="majorHAnsi"/>
      <w:color w:val="FFFFFF" w:themeColor="background1"/>
      <w:sz w:val="60"/>
    </w:rPr>
  </w:style>
  <w:style w:type="paragraph" w:customStyle="1" w:styleId="DividerSectionNumber">
    <w:name w:val="Divider Section Number"/>
    <w:basedOn w:val="BodyText"/>
    <w:next w:val="BodyText"/>
    <w:semiHidden/>
    <w:unhideWhenUsed/>
    <w:rsid w:val="00B55307"/>
    <w:pPr>
      <w:tabs>
        <w:tab w:val="clear" w:pos="284"/>
      </w:tabs>
      <w:spacing w:before="360" w:after="360" w:line="2400" w:lineRule="atLeast"/>
      <w:jc w:val="right"/>
    </w:pPr>
    <w:rPr>
      <w:rFonts w:asciiTheme="majorHAnsi" w:hAnsiTheme="majorHAnsi"/>
      <w:color w:val="FFFFFF" w:themeColor="background1"/>
      <w:sz w:val="200"/>
    </w:rPr>
  </w:style>
  <w:style w:type="paragraph" w:customStyle="1" w:styleId="DividerSectionNumberSmall">
    <w:name w:val="Divider Section Number (Small)"/>
    <w:basedOn w:val="Normal"/>
    <w:next w:val="BodyText"/>
    <w:semiHidden/>
    <w:unhideWhenUsed/>
    <w:rsid w:val="00DD3356"/>
    <w:pPr>
      <w:spacing w:before="360" w:after="360" w:line="1440" w:lineRule="atLeast"/>
      <w:jc w:val="right"/>
    </w:pPr>
    <w:rPr>
      <w:rFonts w:asciiTheme="majorHAnsi" w:hAnsiTheme="majorHAnsi"/>
      <w:b/>
      <w:color w:val="00B5E2" w:themeColor="accent1"/>
      <w:sz w:val="120"/>
    </w:rPr>
  </w:style>
  <w:style w:type="table" w:styleId="TableGrid">
    <w:name w:val="Table Grid"/>
    <w:basedOn w:val="TableNormal"/>
    <w:semiHidden/>
    <w:unhideWhenUsed/>
    <w:rsid w:val="00364FD7"/>
    <w:rPr>
      <w:sz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Pr>
    <w:tblStylePr w:type="firstRow">
      <w:rPr>
        <w:rFonts w:asciiTheme="majorHAnsi" w:hAnsiTheme="majorHAnsi"/>
        <w:b w:val="0"/>
      </w:rPr>
    </w:tblStylePr>
  </w:style>
  <w:style w:type="table" w:customStyle="1" w:styleId="AECOMtable">
    <w:name w:val="AECOM table"/>
    <w:basedOn w:val="TableNormal"/>
    <w:uiPriority w:val="99"/>
    <w:unhideWhenUsed/>
    <w:rsid w:val="00A87D6A"/>
    <w:rPr>
      <w:sz w:val="16"/>
    </w:rPr>
    <w:tblPr>
      <w:tblBorders>
        <w:insideH w:val="single" w:sz="4" w:space="0" w:color="auto"/>
      </w:tblBorders>
      <w:tblCellMar>
        <w:top w:w="28" w:type="dxa"/>
        <w:left w:w="0" w:type="dxa"/>
        <w:bottom w:w="28" w:type="dxa"/>
        <w:right w:w="113" w:type="dxa"/>
      </w:tblCellMar>
    </w:tblPr>
    <w:tblStylePr w:type="firstRow">
      <w:rPr>
        <w:rFonts w:asciiTheme="majorHAnsi" w:hAnsiTheme="majorHAnsi"/>
        <w:b/>
        <w:color w:val="00B5E2" w:themeColor="accent1"/>
        <w:sz w:val="16"/>
      </w:rPr>
      <w:tblPr/>
      <w:tcPr>
        <w:tcBorders>
          <w:top w:val="nil"/>
          <w:left w:val="nil"/>
          <w:bottom w:val="single" w:sz="12" w:space="0" w:color="00B5E2" w:themeColor="accent1"/>
          <w:right w:val="nil"/>
          <w:insideH w:val="nil"/>
          <w:insideV w:val="nil"/>
          <w:tl2br w:val="nil"/>
          <w:tr2bl w:val="nil"/>
        </w:tcBorders>
      </w:tcPr>
    </w:tblStylePr>
  </w:style>
  <w:style w:type="paragraph" w:styleId="Caption">
    <w:name w:val="caption"/>
    <w:basedOn w:val="Normal"/>
    <w:next w:val="BodyText"/>
    <w:autoRedefine/>
    <w:uiPriority w:val="24"/>
    <w:qFormat/>
    <w:rsid w:val="00767C2F"/>
    <w:pPr>
      <w:keepNext/>
      <w:spacing w:before="120" w:line="240" w:lineRule="auto"/>
      <w:jc w:val="center"/>
    </w:pPr>
    <w:rPr>
      <w:rFonts w:asciiTheme="majorHAnsi" w:hAnsiTheme="majorHAnsi"/>
      <w:b/>
      <w:bCs/>
      <w:color w:val="00B5E2" w:themeColor="accent1"/>
    </w:rPr>
  </w:style>
  <w:style w:type="paragraph" w:customStyle="1" w:styleId="Source">
    <w:name w:val="Source"/>
    <w:basedOn w:val="Normal"/>
    <w:uiPriority w:val="25"/>
    <w:qFormat/>
    <w:rsid w:val="00F4332F"/>
    <w:pPr>
      <w:spacing w:after="120"/>
    </w:pPr>
    <w:rPr>
      <w:i/>
      <w:sz w:val="16"/>
    </w:rPr>
  </w:style>
  <w:style w:type="paragraph" w:styleId="FootnoteText">
    <w:name w:val="footnote text"/>
    <w:basedOn w:val="Normal"/>
    <w:link w:val="FootnoteTextChar"/>
    <w:uiPriority w:val="99"/>
    <w:semiHidden/>
    <w:unhideWhenUsed/>
    <w:rsid w:val="00253171"/>
    <w:pPr>
      <w:spacing w:line="240" w:lineRule="auto"/>
    </w:pPr>
    <w:rPr>
      <w:sz w:val="16"/>
      <w:szCs w:val="20"/>
    </w:rPr>
  </w:style>
  <w:style w:type="character" w:customStyle="1" w:styleId="FootnoteTextChar">
    <w:name w:val="Footnote Text Char"/>
    <w:basedOn w:val="DefaultParagraphFont"/>
    <w:link w:val="FootnoteText"/>
    <w:uiPriority w:val="99"/>
    <w:semiHidden/>
    <w:rsid w:val="00F66A91"/>
    <w:rPr>
      <w:kern w:val="18"/>
      <w:sz w:val="16"/>
      <w:szCs w:val="20"/>
    </w:rPr>
  </w:style>
  <w:style w:type="character" w:styleId="FootnoteReference">
    <w:name w:val="footnote reference"/>
    <w:basedOn w:val="DefaultParagraphFont"/>
    <w:uiPriority w:val="99"/>
    <w:semiHidden/>
    <w:unhideWhenUsed/>
    <w:rsid w:val="00F27E4A"/>
    <w:rPr>
      <w:rFonts w:asciiTheme="majorHAnsi" w:hAnsiTheme="majorHAnsi"/>
      <w:color w:val="auto"/>
      <w:vertAlign w:val="superscript"/>
    </w:rPr>
  </w:style>
  <w:style w:type="paragraph" w:customStyle="1" w:styleId="Appendix">
    <w:name w:val="Appendix"/>
    <w:basedOn w:val="Heading1"/>
    <w:next w:val="BodyText"/>
    <w:uiPriority w:val="6"/>
    <w:qFormat/>
    <w:rsid w:val="007B7A3A"/>
    <w:pPr>
      <w:pageBreakBefore/>
      <w:numPr>
        <w:numId w:val="21"/>
      </w:numPr>
    </w:pPr>
  </w:style>
  <w:style w:type="character" w:styleId="Hyperlink">
    <w:name w:val="Hyperlink"/>
    <w:basedOn w:val="DefaultParagraphFont"/>
    <w:uiPriority w:val="26"/>
    <w:qFormat/>
    <w:rsid w:val="00F15F1A"/>
    <w:rPr>
      <w:color w:val="00B5E2" w:themeColor="accent1"/>
      <w:u w:val="single"/>
    </w:rPr>
  </w:style>
  <w:style w:type="character" w:styleId="FollowedHyperlink">
    <w:name w:val="FollowedHyperlink"/>
    <w:basedOn w:val="DefaultParagraphFont"/>
    <w:uiPriority w:val="27"/>
    <w:qFormat/>
    <w:rsid w:val="00F15F1A"/>
    <w:rPr>
      <w:color w:val="84BD00" w:themeColor="accent2"/>
      <w:u w:val="single"/>
    </w:rPr>
  </w:style>
  <w:style w:type="table" w:styleId="ColorfulGrid">
    <w:name w:val="Colorful Grid"/>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C6F3FF" w:themeFill="accent1" w:themeFillTint="33"/>
    </w:tcPr>
    <w:tblStylePr w:type="firstRow">
      <w:rPr>
        <w:b/>
        <w:bCs/>
      </w:rPr>
      <w:tblPr/>
      <w:tcPr>
        <w:shd w:val="clear" w:color="auto" w:fill="8DE8FF" w:themeFill="accent1" w:themeFillTint="66"/>
      </w:tcPr>
    </w:tblStylePr>
    <w:tblStylePr w:type="lastRow">
      <w:rPr>
        <w:b/>
        <w:bCs/>
        <w:color w:val="000000" w:themeColor="text1"/>
      </w:rPr>
      <w:tblPr/>
      <w:tcPr>
        <w:shd w:val="clear" w:color="auto" w:fill="8DE8FF" w:themeFill="accent1" w:themeFillTint="66"/>
      </w:tcPr>
    </w:tblStylePr>
    <w:tblStylePr w:type="firstCol">
      <w:rPr>
        <w:color w:val="FFFFFF" w:themeColor="background1"/>
      </w:rPr>
      <w:tblPr/>
      <w:tcPr>
        <w:shd w:val="clear" w:color="auto" w:fill="0087A9" w:themeFill="accent1" w:themeFillShade="BF"/>
      </w:tcPr>
    </w:tblStylePr>
    <w:tblStylePr w:type="lastCol">
      <w:rPr>
        <w:color w:val="FFFFFF" w:themeColor="background1"/>
      </w:rPr>
      <w:tblPr/>
      <w:tcPr>
        <w:shd w:val="clear" w:color="auto" w:fill="0087A9" w:themeFill="accent1" w:themeFillShade="BF"/>
      </w:tcPr>
    </w:tblStylePr>
    <w:tblStylePr w:type="band1Vert">
      <w:tblPr/>
      <w:tcPr>
        <w:shd w:val="clear" w:color="auto" w:fill="71E2FF" w:themeFill="accent1" w:themeFillTint="7F"/>
      </w:tcPr>
    </w:tblStylePr>
    <w:tblStylePr w:type="band1Horz">
      <w:tblPr/>
      <w:tcPr>
        <w:shd w:val="clear" w:color="auto" w:fill="71E2FF" w:themeFill="accent1" w:themeFillTint="7F"/>
      </w:tcPr>
    </w:tblStylePr>
  </w:style>
  <w:style w:type="table" w:styleId="ColorfulGrid-Accent2">
    <w:name w:val="Colorful Grid Accent 2"/>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EBFFBE" w:themeFill="accent2" w:themeFillTint="33"/>
    </w:tcPr>
    <w:tblStylePr w:type="firstRow">
      <w:rPr>
        <w:b/>
        <w:bCs/>
      </w:rPr>
      <w:tblPr/>
      <w:tcPr>
        <w:shd w:val="clear" w:color="auto" w:fill="D8FF7E" w:themeFill="accent2" w:themeFillTint="66"/>
      </w:tcPr>
    </w:tblStylePr>
    <w:tblStylePr w:type="lastRow">
      <w:rPr>
        <w:b/>
        <w:bCs/>
        <w:color w:val="000000" w:themeColor="text1"/>
      </w:rPr>
      <w:tblPr/>
      <w:tcPr>
        <w:shd w:val="clear" w:color="auto" w:fill="D8FF7E" w:themeFill="accent2" w:themeFillTint="66"/>
      </w:tcPr>
    </w:tblStylePr>
    <w:tblStylePr w:type="firstCol">
      <w:rPr>
        <w:color w:val="FFFFFF" w:themeColor="background1"/>
      </w:rPr>
      <w:tblPr/>
      <w:tcPr>
        <w:shd w:val="clear" w:color="auto" w:fill="628D00" w:themeFill="accent2" w:themeFillShade="BF"/>
      </w:tcPr>
    </w:tblStylePr>
    <w:tblStylePr w:type="lastCol">
      <w:rPr>
        <w:color w:val="FFFFFF" w:themeColor="background1"/>
      </w:rPr>
      <w:tblPr/>
      <w:tcPr>
        <w:shd w:val="clear" w:color="auto" w:fill="628D00" w:themeFill="accent2" w:themeFillShade="BF"/>
      </w:tcPr>
    </w:tblStylePr>
    <w:tblStylePr w:type="band1Vert">
      <w:tblPr/>
      <w:tcPr>
        <w:shd w:val="clear" w:color="auto" w:fill="CEFF5F" w:themeFill="accent2" w:themeFillTint="7F"/>
      </w:tcPr>
    </w:tblStylePr>
    <w:tblStylePr w:type="band1Horz">
      <w:tblPr/>
      <w:tcPr>
        <w:shd w:val="clear" w:color="auto" w:fill="CEFF5F" w:themeFill="accent2" w:themeFillTint="7F"/>
      </w:tcPr>
    </w:tblStylePr>
  </w:style>
  <w:style w:type="table" w:styleId="ColorfulGrid-Accent3">
    <w:name w:val="Colorful Grid Accent 3"/>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FDE7D2" w:themeFill="accent3" w:themeFillTint="33"/>
    </w:tcPr>
    <w:tblStylePr w:type="firstRow">
      <w:rPr>
        <w:b/>
        <w:bCs/>
      </w:rPr>
      <w:tblPr/>
      <w:tcPr>
        <w:shd w:val="clear" w:color="auto" w:fill="FBD0A5" w:themeFill="accent3" w:themeFillTint="66"/>
      </w:tcPr>
    </w:tblStylePr>
    <w:tblStylePr w:type="lastRow">
      <w:rPr>
        <w:b/>
        <w:bCs/>
        <w:color w:val="000000" w:themeColor="text1"/>
      </w:rPr>
      <w:tblPr/>
      <w:tcPr>
        <w:shd w:val="clear" w:color="auto" w:fill="FBD0A5" w:themeFill="accent3" w:themeFillTint="66"/>
      </w:tcPr>
    </w:tblStylePr>
    <w:tblStylePr w:type="firstCol">
      <w:rPr>
        <w:color w:val="FFFFFF" w:themeColor="background1"/>
      </w:rPr>
      <w:tblPr/>
      <w:tcPr>
        <w:shd w:val="clear" w:color="auto" w:fill="C76808" w:themeFill="accent3" w:themeFillShade="BF"/>
      </w:tcPr>
    </w:tblStylePr>
    <w:tblStylePr w:type="lastCol">
      <w:rPr>
        <w:color w:val="FFFFFF" w:themeColor="background1"/>
      </w:rPr>
      <w:tblPr/>
      <w:tcPr>
        <w:shd w:val="clear" w:color="auto" w:fill="C76808" w:themeFill="accent3" w:themeFillShade="BF"/>
      </w:tcPr>
    </w:tblStylePr>
    <w:tblStylePr w:type="band1Vert">
      <w:tblPr/>
      <w:tcPr>
        <w:shd w:val="clear" w:color="auto" w:fill="FAC58F" w:themeFill="accent3" w:themeFillTint="7F"/>
      </w:tcPr>
    </w:tblStylePr>
    <w:tblStylePr w:type="band1Horz">
      <w:tblPr/>
      <w:tcPr>
        <w:shd w:val="clear" w:color="auto" w:fill="FAC58F" w:themeFill="accent3" w:themeFillTint="7F"/>
      </w:tcPr>
    </w:tblStylePr>
  </w:style>
  <w:style w:type="table" w:styleId="ColorfulGrid-Accent4">
    <w:name w:val="Colorful Grid Accent 4"/>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FFB8F0" w:themeFill="accent4" w:themeFillTint="33"/>
    </w:tcPr>
    <w:tblStylePr w:type="firstRow">
      <w:rPr>
        <w:b/>
        <w:bCs/>
      </w:rPr>
      <w:tblPr/>
      <w:tcPr>
        <w:shd w:val="clear" w:color="auto" w:fill="FF72E2" w:themeFill="accent4" w:themeFillTint="66"/>
      </w:tcPr>
    </w:tblStylePr>
    <w:tblStylePr w:type="lastRow">
      <w:rPr>
        <w:b/>
        <w:bCs/>
        <w:color w:val="000000" w:themeColor="text1"/>
      </w:rPr>
      <w:tblPr/>
      <w:tcPr>
        <w:shd w:val="clear" w:color="auto" w:fill="FF72E2" w:themeFill="accent4" w:themeFillTint="66"/>
      </w:tcPr>
    </w:tblStylePr>
    <w:tblStylePr w:type="firstCol">
      <w:rPr>
        <w:color w:val="FFFFFF" w:themeColor="background1"/>
      </w:rPr>
      <w:tblPr/>
      <w:tcPr>
        <w:shd w:val="clear" w:color="auto" w:fill="76005E" w:themeFill="accent4" w:themeFillShade="BF"/>
      </w:tcPr>
    </w:tblStylePr>
    <w:tblStylePr w:type="lastCol">
      <w:rPr>
        <w:color w:val="FFFFFF" w:themeColor="background1"/>
      </w:rPr>
      <w:tblPr/>
      <w:tcPr>
        <w:shd w:val="clear" w:color="auto" w:fill="76005E" w:themeFill="accent4" w:themeFillShade="BF"/>
      </w:tcPr>
    </w:tblStylePr>
    <w:tblStylePr w:type="band1Vert">
      <w:tblPr/>
      <w:tcPr>
        <w:shd w:val="clear" w:color="auto" w:fill="FF4FDB" w:themeFill="accent4" w:themeFillTint="7F"/>
      </w:tcPr>
    </w:tblStylePr>
    <w:tblStylePr w:type="band1Horz">
      <w:tblPr/>
      <w:tcPr>
        <w:shd w:val="clear" w:color="auto" w:fill="FF4FDB" w:themeFill="accent4" w:themeFillTint="7F"/>
      </w:tcPr>
    </w:tblStylePr>
  </w:style>
  <w:style w:type="table" w:styleId="ColorfulGrid-Accent5">
    <w:name w:val="Colorful Grid Accent 5"/>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FFF9CF" w:themeFill="accent5" w:themeFillTint="33"/>
    </w:tcPr>
    <w:tblStylePr w:type="firstRow">
      <w:rPr>
        <w:b/>
        <w:bCs/>
      </w:rPr>
      <w:tblPr/>
      <w:tcPr>
        <w:shd w:val="clear" w:color="auto" w:fill="FFF4A0" w:themeFill="accent5" w:themeFillTint="66"/>
      </w:tcPr>
    </w:tblStylePr>
    <w:tblStylePr w:type="lastRow">
      <w:rPr>
        <w:b/>
        <w:bCs/>
        <w:color w:val="000000" w:themeColor="text1"/>
      </w:rPr>
      <w:tblPr/>
      <w:tcPr>
        <w:shd w:val="clear" w:color="auto" w:fill="FFF4A0" w:themeFill="accent5" w:themeFillTint="66"/>
      </w:tcPr>
    </w:tblStylePr>
    <w:tblStylePr w:type="firstCol">
      <w:rPr>
        <w:color w:val="FFFFFF" w:themeColor="background1"/>
      </w:rPr>
      <w:tblPr/>
      <w:tcPr>
        <w:shd w:val="clear" w:color="auto" w:fill="CCB500" w:themeFill="accent5" w:themeFillShade="BF"/>
      </w:tcPr>
    </w:tblStylePr>
    <w:tblStylePr w:type="lastCol">
      <w:rPr>
        <w:color w:val="FFFFFF" w:themeColor="background1"/>
      </w:rPr>
      <w:tblPr/>
      <w:tcPr>
        <w:shd w:val="clear" w:color="auto" w:fill="CCB500" w:themeFill="accent5" w:themeFillShade="BF"/>
      </w:tcPr>
    </w:tblStylePr>
    <w:tblStylePr w:type="band1Vert">
      <w:tblPr/>
      <w:tcPr>
        <w:shd w:val="clear" w:color="auto" w:fill="FFF288" w:themeFill="accent5" w:themeFillTint="7F"/>
      </w:tcPr>
    </w:tblStylePr>
    <w:tblStylePr w:type="band1Horz">
      <w:tblPr/>
      <w:tcPr>
        <w:shd w:val="clear" w:color="auto" w:fill="FFF288" w:themeFill="accent5" w:themeFillTint="7F"/>
      </w:tcPr>
    </w:tblStylePr>
  </w:style>
  <w:style w:type="table" w:styleId="ColorfulGrid-Accent6">
    <w:name w:val="Colorful Grid Accent 6"/>
    <w:basedOn w:val="TableNormal"/>
    <w:uiPriority w:val="73"/>
    <w:semiHidden/>
    <w:unhideWhenUsed/>
    <w:rsid w:val="009E6ED7"/>
    <w:rPr>
      <w:color w:val="000000" w:themeColor="text1"/>
    </w:rPr>
    <w:tblPr>
      <w:tblStyleRowBandSize w:val="1"/>
      <w:tblStyleColBandSize w:val="1"/>
      <w:tblBorders>
        <w:insideH w:val="single" w:sz="4" w:space="0" w:color="FFFFFF" w:themeColor="background1"/>
      </w:tblBorders>
    </w:tblPr>
    <w:tcPr>
      <w:shd w:val="clear" w:color="auto" w:fill="E8E5E4" w:themeFill="accent6" w:themeFillTint="33"/>
    </w:tcPr>
    <w:tblStylePr w:type="firstRow">
      <w:rPr>
        <w:b/>
        <w:bCs/>
      </w:rPr>
      <w:tblPr/>
      <w:tcPr>
        <w:shd w:val="clear" w:color="auto" w:fill="D1CCC9" w:themeFill="accent6" w:themeFillTint="66"/>
      </w:tcPr>
    </w:tblStylePr>
    <w:tblStylePr w:type="lastRow">
      <w:rPr>
        <w:b/>
        <w:bCs/>
        <w:color w:val="000000" w:themeColor="text1"/>
      </w:rPr>
      <w:tblPr/>
      <w:tcPr>
        <w:shd w:val="clear" w:color="auto" w:fill="D1CCC9" w:themeFill="accent6" w:themeFillTint="66"/>
      </w:tcPr>
    </w:tblStylePr>
    <w:tblStylePr w:type="firstCol">
      <w:rPr>
        <w:color w:val="FFFFFF" w:themeColor="background1"/>
      </w:rPr>
      <w:tblPr/>
      <w:tcPr>
        <w:shd w:val="clear" w:color="auto" w:fill="69615A" w:themeFill="accent6" w:themeFillShade="BF"/>
      </w:tcPr>
    </w:tblStylePr>
    <w:tblStylePr w:type="lastCol">
      <w:rPr>
        <w:color w:val="FFFFFF" w:themeColor="background1"/>
      </w:rPr>
      <w:tblPr/>
      <w:tcPr>
        <w:shd w:val="clear" w:color="auto" w:fill="69615A" w:themeFill="accent6" w:themeFillShade="BF"/>
      </w:tcPr>
    </w:tblStylePr>
    <w:tblStylePr w:type="band1Vert">
      <w:tblPr/>
      <w:tcPr>
        <w:shd w:val="clear" w:color="auto" w:fill="C5C0BC" w:themeFill="accent6" w:themeFillTint="7F"/>
      </w:tcPr>
    </w:tblStylePr>
    <w:tblStylePr w:type="band1Horz">
      <w:tblPr/>
      <w:tcPr>
        <w:shd w:val="clear" w:color="auto" w:fill="C5C0BC" w:themeFill="accent6" w:themeFillTint="7F"/>
      </w:tcPr>
    </w:tblStylePr>
  </w:style>
  <w:style w:type="table" w:styleId="ColorfulList">
    <w:name w:val="Colorful List"/>
    <w:basedOn w:val="TableNormal"/>
    <w:uiPriority w:val="72"/>
    <w:semiHidden/>
    <w:unhideWhenUsed/>
    <w:rsid w:val="009E6ED7"/>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699700" w:themeFill="accent2" w:themeFillShade="CC"/>
      </w:tcPr>
    </w:tblStylePr>
    <w:tblStylePr w:type="lastRow">
      <w:rPr>
        <w:b/>
        <w:bCs/>
        <w:color w:val="6997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9E6ED7"/>
    <w:rPr>
      <w:color w:val="000000" w:themeColor="text1"/>
    </w:rPr>
    <w:tblPr>
      <w:tblStyleRowBandSize w:val="1"/>
      <w:tblStyleColBandSize w:val="1"/>
    </w:tblPr>
    <w:tcPr>
      <w:shd w:val="clear" w:color="auto" w:fill="E3F9FF" w:themeFill="accent1" w:themeFillTint="19"/>
    </w:tcPr>
    <w:tblStylePr w:type="firstRow">
      <w:rPr>
        <w:b/>
        <w:bCs/>
        <w:color w:val="FFFFFF" w:themeColor="background1"/>
      </w:rPr>
      <w:tblPr/>
      <w:tcPr>
        <w:tcBorders>
          <w:bottom w:val="single" w:sz="12" w:space="0" w:color="FFFFFF" w:themeColor="background1"/>
        </w:tcBorders>
        <w:shd w:val="clear" w:color="auto" w:fill="699700" w:themeFill="accent2" w:themeFillShade="CC"/>
      </w:tcPr>
    </w:tblStylePr>
    <w:tblStylePr w:type="lastRow">
      <w:rPr>
        <w:b/>
        <w:bCs/>
        <w:color w:val="6997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8F0FF" w:themeFill="accent1" w:themeFillTint="3F"/>
      </w:tcPr>
    </w:tblStylePr>
    <w:tblStylePr w:type="band1Horz">
      <w:tblPr/>
      <w:tcPr>
        <w:shd w:val="clear" w:color="auto" w:fill="C6F3FF" w:themeFill="accent1" w:themeFillTint="33"/>
      </w:tcPr>
    </w:tblStylePr>
  </w:style>
  <w:style w:type="table" w:styleId="ColorfulList-Accent2">
    <w:name w:val="Colorful List Accent 2"/>
    <w:basedOn w:val="TableNormal"/>
    <w:uiPriority w:val="72"/>
    <w:semiHidden/>
    <w:unhideWhenUsed/>
    <w:rsid w:val="009E6ED7"/>
    <w:rPr>
      <w:color w:val="000000" w:themeColor="text1"/>
    </w:rPr>
    <w:tblPr>
      <w:tblStyleRowBandSize w:val="1"/>
      <w:tblStyleColBandSize w:val="1"/>
    </w:tblPr>
    <w:tcPr>
      <w:shd w:val="clear" w:color="auto" w:fill="F5FFDF" w:themeFill="accent2" w:themeFillTint="19"/>
    </w:tcPr>
    <w:tblStylePr w:type="firstRow">
      <w:rPr>
        <w:b/>
        <w:bCs/>
        <w:color w:val="FFFFFF" w:themeColor="background1"/>
      </w:rPr>
      <w:tblPr/>
      <w:tcPr>
        <w:tcBorders>
          <w:bottom w:val="single" w:sz="12" w:space="0" w:color="FFFFFF" w:themeColor="background1"/>
        </w:tcBorders>
        <w:shd w:val="clear" w:color="auto" w:fill="699700" w:themeFill="accent2" w:themeFillShade="CC"/>
      </w:tcPr>
    </w:tblStylePr>
    <w:tblStylePr w:type="lastRow">
      <w:rPr>
        <w:b/>
        <w:bCs/>
        <w:color w:val="6997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7FFAF" w:themeFill="accent2" w:themeFillTint="3F"/>
      </w:tcPr>
    </w:tblStylePr>
    <w:tblStylePr w:type="band1Horz">
      <w:tblPr/>
      <w:tcPr>
        <w:shd w:val="clear" w:color="auto" w:fill="EBFFBE" w:themeFill="accent2" w:themeFillTint="33"/>
      </w:tcPr>
    </w:tblStylePr>
  </w:style>
  <w:style w:type="table" w:styleId="ColorfulList-Accent3">
    <w:name w:val="Colorful List Accent 3"/>
    <w:basedOn w:val="TableNormal"/>
    <w:uiPriority w:val="72"/>
    <w:semiHidden/>
    <w:unhideWhenUsed/>
    <w:rsid w:val="009E6ED7"/>
    <w:rPr>
      <w:color w:val="000000" w:themeColor="text1"/>
    </w:rPr>
    <w:tblPr>
      <w:tblStyleRowBandSize w:val="1"/>
      <w:tblStyleColBandSize w:val="1"/>
    </w:tblPr>
    <w:tcPr>
      <w:shd w:val="clear" w:color="auto" w:fill="FEF3E8" w:themeFill="accent3" w:themeFillTint="19"/>
    </w:tcPr>
    <w:tblStylePr w:type="firstRow">
      <w:rPr>
        <w:b/>
        <w:bCs/>
        <w:color w:val="FFFFFF" w:themeColor="background1"/>
      </w:rPr>
      <w:tblPr/>
      <w:tcPr>
        <w:tcBorders>
          <w:bottom w:val="single" w:sz="12" w:space="0" w:color="FFFFFF" w:themeColor="background1"/>
        </w:tcBorders>
        <w:shd w:val="clear" w:color="auto" w:fill="7E0064" w:themeFill="accent4" w:themeFillShade="CC"/>
      </w:tcPr>
    </w:tblStylePr>
    <w:tblStylePr w:type="lastRow">
      <w:rPr>
        <w:b/>
        <w:bCs/>
        <w:color w:val="7E0064"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CE2C7" w:themeFill="accent3" w:themeFillTint="3F"/>
      </w:tcPr>
    </w:tblStylePr>
    <w:tblStylePr w:type="band1Horz">
      <w:tblPr/>
      <w:tcPr>
        <w:shd w:val="clear" w:color="auto" w:fill="FDE7D2" w:themeFill="accent3" w:themeFillTint="33"/>
      </w:tcPr>
    </w:tblStylePr>
  </w:style>
  <w:style w:type="table" w:styleId="ColorfulList-Accent4">
    <w:name w:val="Colorful List Accent 4"/>
    <w:basedOn w:val="TableNormal"/>
    <w:uiPriority w:val="72"/>
    <w:semiHidden/>
    <w:unhideWhenUsed/>
    <w:rsid w:val="009E6ED7"/>
    <w:rPr>
      <w:color w:val="000000" w:themeColor="text1"/>
    </w:rPr>
    <w:tblPr>
      <w:tblStyleRowBandSize w:val="1"/>
      <w:tblStyleColBandSize w:val="1"/>
    </w:tblPr>
    <w:tcPr>
      <w:shd w:val="clear" w:color="auto" w:fill="FFDCF7" w:themeFill="accent4" w:themeFillTint="19"/>
    </w:tcPr>
    <w:tblStylePr w:type="firstRow">
      <w:rPr>
        <w:b/>
        <w:bCs/>
        <w:color w:val="FFFFFF" w:themeColor="background1"/>
      </w:rPr>
      <w:tblPr/>
      <w:tcPr>
        <w:tcBorders>
          <w:bottom w:val="single" w:sz="12" w:space="0" w:color="FFFFFF" w:themeColor="background1"/>
        </w:tcBorders>
        <w:shd w:val="clear" w:color="auto" w:fill="D46F08" w:themeFill="accent3" w:themeFillShade="CC"/>
      </w:tcPr>
    </w:tblStylePr>
    <w:tblStylePr w:type="lastRow">
      <w:rPr>
        <w:b/>
        <w:bCs/>
        <w:color w:val="D46F08"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A8ED" w:themeFill="accent4" w:themeFillTint="3F"/>
      </w:tcPr>
    </w:tblStylePr>
    <w:tblStylePr w:type="band1Horz">
      <w:tblPr/>
      <w:tcPr>
        <w:shd w:val="clear" w:color="auto" w:fill="FFB8F0" w:themeFill="accent4" w:themeFillTint="33"/>
      </w:tcPr>
    </w:tblStylePr>
  </w:style>
  <w:style w:type="table" w:styleId="ColorfulList-Accent5">
    <w:name w:val="Colorful List Accent 5"/>
    <w:basedOn w:val="TableNormal"/>
    <w:uiPriority w:val="72"/>
    <w:semiHidden/>
    <w:unhideWhenUsed/>
    <w:rsid w:val="009E6ED7"/>
    <w:rPr>
      <w:color w:val="000000" w:themeColor="text1"/>
    </w:rPr>
    <w:tblPr>
      <w:tblStyleRowBandSize w:val="1"/>
      <w:tblStyleColBandSize w:val="1"/>
    </w:tblPr>
    <w:tcPr>
      <w:shd w:val="clear" w:color="auto" w:fill="FFFCE7" w:themeFill="accent5" w:themeFillTint="19"/>
    </w:tcPr>
    <w:tblStylePr w:type="firstRow">
      <w:rPr>
        <w:b/>
        <w:bCs/>
        <w:color w:val="FFFFFF" w:themeColor="background1"/>
      </w:rPr>
      <w:tblPr/>
      <w:tcPr>
        <w:tcBorders>
          <w:bottom w:val="single" w:sz="12" w:space="0" w:color="FFFFFF" w:themeColor="background1"/>
        </w:tcBorders>
        <w:shd w:val="clear" w:color="auto" w:fill="706760" w:themeFill="accent6" w:themeFillShade="CC"/>
      </w:tcPr>
    </w:tblStylePr>
    <w:tblStylePr w:type="lastRow">
      <w:rPr>
        <w:b/>
        <w:bCs/>
        <w:color w:val="706760"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8C4" w:themeFill="accent5" w:themeFillTint="3F"/>
      </w:tcPr>
    </w:tblStylePr>
    <w:tblStylePr w:type="band1Horz">
      <w:tblPr/>
      <w:tcPr>
        <w:shd w:val="clear" w:color="auto" w:fill="FFF9CF" w:themeFill="accent5" w:themeFillTint="33"/>
      </w:tcPr>
    </w:tblStylePr>
  </w:style>
  <w:style w:type="table" w:styleId="ColorfulList-Accent6">
    <w:name w:val="Colorful List Accent 6"/>
    <w:basedOn w:val="TableNormal"/>
    <w:uiPriority w:val="72"/>
    <w:semiHidden/>
    <w:unhideWhenUsed/>
    <w:rsid w:val="009E6ED7"/>
    <w:rPr>
      <w:color w:val="000000" w:themeColor="text1"/>
    </w:rPr>
    <w:tblPr>
      <w:tblStyleRowBandSize w:val="1"/>
      <w:tblStyleColBandSize w:val="1"/>
    </w:tblPr>
    <w:tcPr>
      <w:shd w:val="clear" w:color="auto" w:fill="F3F2F1" w:themeFill="accent6" w:themeFillTint="19"/>
    </w:tcPr>
    <w:tblStylePr w:type="firstRow">
      <w:rPr>
        <w:b/>
        <w:bCs/>
        <w:color w:val="FFFFFF" w:themeColor="background1"/>
      </w:rPr>
      <w:tblPr/>
      <w:tcPr>
        <w:tcBorders>
          <w:bottom w:val="single" w:sz="12" w:space="0" w:color="FFFFFF" w:themeColor="background1"/>
        </w:tcBorders>
        <w:shd w:val="clear" w:color="auto" w:fill="DAC200" w:themeFill="accent5" w:themeFillShade="CC"/>
      </w:tcPr>
    </w:tblStylePr>
    <w:tblStylePr w:type="lastRow">
      <w:rPr>
        <w:b/>
        <w:bCs/>
        <w:color w:val="DAC200"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2E0DD" w:themeFill="accent6" w:themeFillTint="3F"/>
      </w:tcPr>
    </w:tblStylePr>
    <w:tblStylePr w:type="band1Horz">
      <w:tblPr/>
      <w:tcPr>
        <w:shd w:val="clear" w:color="auto" w:fill="E8E5E4" w:themeFill="accent6" w:themeFillTint="33"/>
      </w:tcPr>
    </w:tblStylePr>
  </w:style>
  <w:style w:type="table" w:styleId="ColorfulShading">
    <w:name w:val="Colorful Shading"/>
    <w:basedOn w:val="TableNormal"/>
    <w:uiPriority w:val="71"/>
    <w:semiHidden/>
    <w:unhideWhenUsed/>
    <w:rsid w:val="009E6ED7"/>
    <w:rPr>
      <w:color w:val="000000" w:themeColor="text1"/>
    </w:rPr>
    <w:tblPr>
      <w:tblStyleRowBandSize w:val="1"/>
      <w:tblStyleColBandSize w:val="1"/>
      <w:tblBorders>
        <w:top w:val="single" w:sz="24" w:space="0" w:color="84BD0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84BD0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9E6ED7"/>
    <w:rPr>
      <w:color w:val="000000" w:themeColor="text1"/>
    </w:rPr>
    <w:tblPr>
      <w:tblStyleRowBandSize w:val="1"/>
      <w:tblStyleColBandSize w:val="1"/>
      <w:tblBorders>
        <w:top w:val="single" w:sz="24" w:space="0" w:color="84BD00" w:themeColor="accent2"/>
        <w:left w:val="single" w:sz="4" w:space="0" w:color="00B5E2" w:themeColor="accent1"/>
        <w:bottom w:val="single" w:sz="4" w:space="0" w:color="00B5E2" w:themeColor="accent1"/>
        <w:right w:val="single" w:sz="4" w:space="0" w:color="00B5E2" w:themeColor="accent1"/>
        <w:insideH w:val="single" w:sz="4" w:space="0" w:color="FFFFFF" w:themeColor="background1"/>
        <w:insideV w:val="single" w:sz="4" w:space="0" w:color="FFFFFF" w:themeColor="background1"/>
      </w:tblBorders>
    </w:tblPr>
    <w:tcPr>
      <w:shd w:val="clear" w:color="auto" w:fill="E3F9FF" w:themeFill="accent1" w:themeFillTint="19"/>
    </w:tcPr>
    <w:tblStylePr w:type="firstRow">
      <w:rPr>
        <w:b/>
        <w:bCs/>
      </w:rPr>
      <w:tblPr/>
      <w:tcPr>
        <w:tcBorders>
          <w:top w:val="nil"/>
          <w:left w:val="nil"/>
          <w:bottom w:val="single" w:sz="24" w:space="0" w:color="84BD0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6C87" w:themeFill="accent1" w:themeFillShade="99"/>
      </w:tcPr>
    </w:tblStylePr>
    <w:tblStylePr w:type="firstCol">
      <w:rPr>
        <w:color w:val="FFFFFF" w:themeColor="background1"/>
      </w:rPr>
      <w:tblPr/>
      <w:tcPr>
        <w:tcBorders>
          <w:top w:val="nil"/>
          <w:left w:val="nil"/>
          <w:bottom w:val="nil"/>
          <w:right w:val="nil"/>
          <w:insideH w:val="single" w:sz="4" w:space="0" w:color="006C87" w:themeColor="accent1" w:themeShade="99"/>
          <w:insideV w:val="nil"/>
        </w:tcBorders>
        <w:shd w:val="clear" w:color="auto" w:fill="006C87"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006C87" w:themeFill="accent1" w:themeFillShade="99"/>
      </w:tcPr>
    </w:tblStylePr>
    <w:tblStylePr w:type="band1Vert">
      <w:tblPr/>
      <w:tcPr>
        <w:shd w:val="clear" w:color="auto" w:fill="8DE8FF" w:themeFill="accent1" w:themeFillTint="66"/>
      </w:tcPr>
    </w:tblStylePr>
    <w:tblStylePr w:type="band1Horz">
      <w:tblPr/>
      <w:tcPr>
        <w:shd w:val="clear" w:color="auto" w:fill="71E2FF"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9E6ED7"/>
    <w:rPr>
      <w:color w:val="000000" w:themeColor="text1"/>
    </w:rPr>
    <w:tblPr>
      <w:tblStyleRowBandSize w:val="1"/>
      <w:tblStyleColBandSize w:val="1"/>
      <w:tblBorders>
        <w:top w:val="single" w:sz="24" w:space="0" w:color="84BD00" w:themeColor="accent2"/>
        <w:left w:val="single" w:sz="4" w:space="0" w:color="84BD00" w:themeColor="accent2"/>
        <w:bottom w:val="single" w:sz="4" w:space="0" w:color="84BD00" w:themeColor="accent2"/>
        <w:right w:val="single" w:sz="4" w:space="0" w:color="84BD00" w:themeColor="accent2"/>
        <w:insideH w:val="single" w:sz="4" w:space="0" w:color="FFFFFF" w:themeColor="background1"/>
        <w:insideV w:val="single" w:sz="4" w:space="0" w:color="FFFFFF" w:themeColor="background1"/>
      </w:tblBorders>
    </w:tblPr>
    <w:tcPr>
      <w:shd w:val="clear" w:color="auto" w:fill="F5FFDF" w:themeFill="accent2" w:themeFillTint="19"/>
    </w:tcPr>
    <w:tblStylePr w:type="firstRow">
      <w:rPr>
        <w:b/>
        <w:bCs/>
      </w:rPr>
      <w:tblPr/>
      <w:tcPr>
        <w:tcBorders>
          <w:top w:val="nil"/>
          <w:left w:val="nil"/>
          <w:bottom w:val="single" w:sz="24" w:space="0" w:color="84BD0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F7100" w:themeFill="accent2" w:themeFillShade="99"/>
      </w:tcPr>
    </w:tblStylePr>
    <w:tblStylePr w:type="firstCol">
      <w:rPr>
        <w:color w:val="FFFFFF" w:themeColor="background1"/>
      </w:rPr>
      <w:tblPr/>
      <w:tcPr>
        <w:tcBorders>
          <w:top w:val="nil"/>
          <w:left w:val="nil"/>
          <w:bottom w:val="nil"/>
          <w:right w:val="nil"/>
          <w:insideH w:val="single" w:sz="4" w:space="0" w:color="4F7100" w:themeColor="accent2" w:themeShade="99"/>
          <w:insideV w:val="nil"/>
        </w:tcBorders>
        <w:shd w:val="clear" w:color="auto" w:fill="4F710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4F7100" w:themeFill="accent2" w:themeFillShade="99"/>
      </w:tcPr>
    </w:tblStylePr>
    <w:tblStylePr w:type="band1Vert">
      <w:tblPr/>
      <w:tcPr>
        <w:shd w:val="clear" w:color="auto" w:fill="D8FF7E" w:themeFill="accent2" w:themeFillTint="66"/>
      </w:tcPr>
    </w:tblStylePr>
    <w:tblStylePr w:type="band1Horz">
      <w:tblPr/>
      <w:tcPr>
        <w:shd w:val="clear" w:color="auto" w:fill="CEFF5F"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9E6ED7"/>
    <w:rPr>
      <w:color w:val="000000" w:themeColor="text1"/>
    </w:rPr>
    <w:tblPr>
      <w:tblStyleRowBandSize w:val="1"/>
      <w:tblStyleColBandSize w:val="1"/>
      <w:tblBorders>
        <w:top w:val="single" w:sz="24" w:space="0" w:color="9E007E" w:themeColor="accent4"/>
        <w:left w:val="single" w:sz="4" w:space="0" w:color="F68B1F" w:themeColor="accent3"/>
        <w:bottom w:val="single" w:sz="4" w:space="0" w:color="F68B1F" w:themeColor="accent3"/>
        <w:right w:val="single" w:sz="4" w:space="0" w:color="F68B1F" w:themeColor="accent3"/>
        <w:insideH w:val="single" w:sz="4" w:space="0" w:color="FFFFFF" w:themeColor="background1"/>
        <w:insideV w:val="single" w:sz="4" w:space="0" w:color="FFFFFF" w:themeColor="background1"/>
      </w:tblBorders>
    </w:tblPr>
    <w:tcPr>
      <w:shd w:val="clear" w:color="auto" w:fill="FEF3E8" w:themeFill="accent3" w:themeFillTint="19"/>
    </w:tcPr>
    <w:tblStylePr w:type="firstRow">
      <w:rPr>
        <w:b/>
        <w:bCs/>
      </w:rPr>
      <w:tblPr/>
      <w:tcPr>
        <w:tcBorders>
          <w:top w:val="nil"/>
          <w:left w:val="nil"/>
          <w:bottom w:val="single" w:sz="24" w:space="0" w:color="9E007E"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F5306" w:themeFill="accent3" w:themeFillShade="99"/>
      </w:tcPr>
    </w:tblStylePr>
    <w:tblStylePr w:type="firstCol">
      <w:rPr>
        <w:color w:val="FFFFFF" w:themeColor="background1"/>
      </w:rPr>
      <w:tblPr/>
      <w:tcPr>
        <w:tcBorders>
          <w:top w:val="nil"/>
          <w:left w:val="nil"/>
          <w:bottom w:val="nil"/>
          <w:right w:val="nil"/>
          <w:insideH w:val="single" w:sz="4" w:space="0" w:color="9F5306" w:themeColor="accent3" w:themeShade="99"/>
          <w:insideV w:val="nil"/>
        </w:tcBorders>
        <w:shd w:val="clear" w:color="auto" w:fill="9F5306"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9F5306" w:themeFill="accent3" w:themeFillShade="99"/>
      </w:tcPr>
    </w:tblStylePr>
    <w:tblStylePr w:type="band1Vert">
      <w:tblPr/>
      <w:tcPr>
        <w:shd w:val="clear" w:color="auto" w:fill="FBD0A5" w:themeFill="accent3" w:themeFillTint="66"/>
      </w:tcPr>
    </w:tblStylePr>
    <w:tblStylePr w:type="band1Horz">
      <w:tblPr/>
      <w:tcPr>
        <w:shd w:val="clear" w:color="auto" w:fill="FAC58F" w:themeFill="accent3" w:themeFillTint="7F"/>
      </w:tcPr>
    </w:tblStylePr>
  </w:style>
  <w:style w:type="table" w:styleId="ColorfulShading-Accent4">
    <w:name w:val="Colorful Shading Accent 4"/>
    <w:basedOn w:val="TableNormal"/>
    <w:uiPriority w:val="71"/>
    <w:semiHidden/>
    <w:unhideWhenUsed/>
    <w:rsid w:val="009E6ED7"/>
    <w:rPr>
      <w:color w:val="000000" w:themeColor="text1"/>
    </w:rPr>
    <w:tblPr>
      <w:tblStyleRowBandSize w:val="1"/>
      <w:tblStyleColBandSize w:val="1"/>
      <w:tblBorders>
        <w:top w:val="single" w:sz="24" w:space="0" w:color="F68B1F" w:themeColor="accent3"/>
        <w:left w:val="single" w:sz="4" w:space="0" w:color="9E007E" w:themeColor="accent4"/>
        <w:bottom w:val="single" w:sz="4" w:space="0" w:color="9E007E" w:themeColor="accent4"/>
        <w:right w:val="single" w:sz="4" w:space="0" w:color="9E007E" w:themeColor="accent4"/>
        <w:insideH w:val="single" w:sz="4" w:space="0" w:color="FFFFFF" w:themeColor="background1"/>
        <w:insideV w:val="single" w:sz="4" w:space="0" w:color="FFFFFF" w:themeColor="background1"/>
      </w:tblBorders>
    </w:tblPr>
    <w:tcPr>
      <w:shd w:val="clear" w:color="auto" w:fill="FFDCF7" w:themeFill="accent4" w:themeFillTint="19"/>
    </w:tcPr>
    <w:tblStylePr w:type="firstRow">
      <w:rPr>
        <w:b/>
        <w:bCs/>
      </w:rPr>
      <w:tblPr/>
      <w:tcPr>
        <w:tcBorders>
          <w:top w:val="nil"/>
          <w:left w:val="nil"/>
          <w:bottom w:val="single" w:sz="24" w:space="0" w:color="F68B1F"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004B" w:themeFill="accent4" w:themeFillShade="99"/>
      </w:tcPr>
    </w:tblStylePr>
    <w:tblStylePr w:type="firstCol">
      <w:rPr>
        <w:color w:val="FFFFFF" w:themeColor="background1"/>
      </w:rPr>
      <w:tblPr/>
      <w:tcPr>
        <w:tcBorders>
          <w:top w:val="nil"/>
          <w:left w:val="nil"/>
          <w:bottom w:val="nil"/>
          <w:right w:val="nil"/>
          <w:insideH w:val="single" w:sz="4" w:space="0" w:color="5E004B" w:themeColor="accent4" w:themeShade="99"/>
          <w:insideV w:val="nil"/>
        </w:tcBorders>
        <w:shd w:val="clear" w:color="auto" w:fill="5E004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5E004B" w:themeFill="accent4" w:themeFillShade="99"/>
      </w:tcPr>
    </w:tblStylePr>
    <w:tblStylePr w:type="band1Vert">
      <w:tblPr/>
      <w:tcPr>
        <w:shd w:val="clear" w:color="auto" w:fill="FF72E2" w:themeFill="accent4" w:themeFillTint="66"/>
      </w:tcPr>
    </w:tblStylePr>
    <w:tblStylePr w:type="band1Horz">
      <w:tblPr/>
      <w:tcPr>
        <w:shd w:val="clear" w:color="auto" w:fill="FF4FDB"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9E6ED7"/>
    <w:rPr>
      <w:color w:val="000000" w:themeColor="text1"/>
    </w:rPr>
    <w:tblPr>
      <w:tblStyleRowBandSize w:val="1"/>
      <w:tblStyleColBandSize w:val="1"/>
      <w:tblBorders>
        <w:top w:val="single" w:sz="24" w:space="0" w:color="8C8279" w:themeColor="accent6"/>
        <w:left w:val="single" w:sz="4" w:space="0" w:color="FFE512" w:themeColor="accent5"/>
        <w:bottom w:val="single" w:sz="4" w:space="0" w:color="FFE512" w:themeColor="accent5"/>
        <w:right w:val="single" w:sz="4" w:space="0" w:color="FFE512" w:themeColor="accent5"/>
        <w:insideH w:val="single" w:sz="4" w:space="0" w:color="FFFFFF" w:themeColor="background1"/>
        <w:insideV w:val="single" w:sz="4" w:space="0" w:color="FFFFFF" w:themeColor="background1"/>
      </w:tblBorders>
    </w:tblPr>
    <w:tcPr>
      <w:shd w:val="clear" w:color="auto" w:fill="FFFCE7" w:themeFill="accent5" w:themeFillTint="19"/>
    </w:tcPr>
    <w:tblStylePr w:type="firstRow">
      <w:rPr>
        <w:b/>
        <w:bCs/>
      </w:rPr>
      <w:tblPr/>
      <w:tcPr>
        <w:tcBorders>
          <w:top w:val="nil"/>
          <w:left w:val="nil"/>
          <w:bottom w:val="single" w:sz="24" w:space="0" w:color="8C8279"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A39100" w:themeFill="accent5" w:themeFillShade="99"/>
      </w:tcPr>
    </w:tblStylePr>
    <w:tblStylePr w:type="firstCol">
      <w:rPr>
        <w:color w:val="FFFFFF" w:themeColor="background1"/>
      </w:rPr>
      <w:tblPr/>
      <w:tcPr>
        <w:tcBorders>
          <w:top w:val="nil"/>
          <w:left w:val="nil"/>
          <w:bottom w:val="nil"/>
          <w:right w:val="nil"/>
          <w:insideH w:val="single" w:sz="4" w:space="0" w:color="A39100" w:themeColor="accent5" w:themeShade="99"/>
          <w:insideV w:val="nil"/>
        </w:tcBorders>
        <w:shd w:val="clear" w:color="auto" w:fill="A39100"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A39100" w:themeFill="accent5" w:themeFillShade="99"/>
      </w:tcPr>
    </w:tblStylePr>
    <w:tblStylePr w:type="band1Vert">
      <w:tblPr/>
      <w:tcPr>
        <w:shd w:val="clear" w:color="auto" w:fill="FFF4A0" w:themeFill="accent5" w:themeFillTint="66"/>
      </w:tcPr>
    </w:tblStylePr>
    <w:tblStylePr w:type="band1Horz">
      <w:tblPr/>
      <w:tcPr>
        <w:shd w:val="clear" w:color="auto" w:fill="FFF288"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9E6ED7"/>
    <w:rPr>
      <w:color w:val="000000" w:themeColor="text1"/>
    </w:rPr>
    <w:tblPr>
      <w:tblStyleRowBandSize w:val="1"/>
      <w:tblStyleColBandSize w:val="1"/>
      <w:tblBorders>
        <w:top w:val="single" w:sz="24" w:space="0" w:color="FFE512" w:themeColor="accent5"/>
        <w:left w:val="single" w:sz="4" w:space="0" w:color="8C8279" w:themeColor="accent6"/>
        <w:bottom w:val="single" w:sz="4" w:space="0" w:color="8C8279" w:themeColor="accent6"/>
        <w:right w:val="single" w:sz="4" w:space="0" w:color="8C8279" w:themeColor="accent6"/>
        <w:insideH w:val="single" w:sz="4" w:space="0" w:color="FFFFFF" w:themeColor="background1"/>
        <w:insideV w:val="single" w:sz="4" w:space="0" w:color="FFFFFF" w:themeColor="background1"/>
      </w:tblBorders>
    </w:tblPr>
    <w:tcPr>
      <w:shd w:val="clear" w:color="auto" w:fill="F3F2F1" w:themeFill="accent6" w:themeFillTint="19"/>
    </w:tcPr>
    <w:tblStylePr w:type="firstRow">
      <w:rPr>
        <w:b/>
        <w:bCs/>
      </w:rPr>
      <w:tblPr/>
      <w:tcPr>
        <w:tcBorders>
          <w:top w:val="nil"/>
          <w:left w:val="nil"/>
          <w:bottom w:val="single" w:sz="24" w:space="0" w:color="FFE512"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44D48" w:themeFill="accent6" w:themeFillShade="99"/>
      </w:tcPr>
    </w:tblStylePr>
    <w:tblStylePr w:type="firstCol">
      <w:rPr>
        <w:color w:val="FFFFFF" w:themeColor="background1"/>
      </w:rPr>
      <w:tblPr/>
      <w:tcPr>
        <w:tcBorders>
          <w:top w:val="nil"/>
          <w:left w:val="nil"/>
          <w:bottom w:val="nil"/>
          <w:right w:val="nil"/>
          <w:insideH w:val="single" w:sz="4" w:space="0" w:color="544D48" w:themeColor="accent6" w:themeShade="99"/>
          <w:insideV w:val="nil"/>
        </w:tcBorders>
        <w:shd w:val="clear" w:color="auto" w:fill="544D4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44D48" w:themeFill="accent6" w:themeFillShade="99"/>
      </w:tcPr>
    </w:tblStylePr>
    <w:tblStylePr w:type="band1Vert">
      <w:tblPr/>
      <w:tcPr>
        <w:shd w:val="clear" w:color="auto" w:fill="D1CCC9" w:themeFill="accent6" w:themeFillTint="66"/>
      </w:tcPr>
    </w:tblStylePr>
    <w:tblStylePr w:type="band1Horz">
      <w:tblPr/>
      <w:tcPr>
        <w:shd w:val="clear" w:color="auto" w:fill="C5C0BC" w:themeFill="accent6"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70"/>
    <w:semiHidden/>
    <w:unhideWhenUsed/>
    <w:rsid w:val="009E6ED7"/>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9E6ED7"/>
    <w:rPr>
      <w:color w:val="FFFFFF" w:themeColor="background1"/>
    </w:rPr>
    <w:tblPr>
      <w:tblStyleRowBandSize w:val="1"/>
      <w:tblStyleColBandSize w:val="1"/>
    </w:tblPr>
    <w:tcPr>
      <w:shd w:val="clear" w:color="auto" w:fill="00B5E2"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597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0087A9"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0087A9" w:themeFill="accent1" w:themeFillShade="BF"/>
      </w:tcPr>
    </w:tblStylePr>
    <w:tblStylePr w:type="band1Vert">
      <w:tblPr/>
      <w:tcPr>
        <w:tcBorders>
          <w:top w:val="nil"/>
          <w:left w:val="nil"/>
          <w:bottom w:val="nil"/>
          <w:right w:val="nil"/>
          <w:insideH w:val="nil"/>
          <w:insideV w:val="nil"/>
        </w:tcBorders>
        <w:shd w:val="clear" w:color="auto" w:fill="0087A9" w:themeFill="accent1" w:themeFillShade="BF"/>
      </w:tcPr>
    </w:tblStylePr>
    <w:tblStylePr w:type="band1Horz">
      <w:tblPr/>
      <w:tcPr>
        <w:tcBorders>
          <w:top w:val="nil"/>
          <w:left w:val="nil"/>
          <w:bottom w:val="nil"/>
          <w:right w:val="nil"/>
          <w:insideH w:val="nil"/>
          <w:insideV w:val="nil"/>
        </w:tcBorders>
        <w:shd w:val="clear" w:color="auto" w:fill="0087A9" w:themeFill="accent1" w:themeFillShade="BF"/>
      </w:tcPr>
    </w:tblStylePr>
  </w:style>
  <w:style w:type="table" w:styleId="DarkList-Accent2">
    <w:name w:val="Dark List Accent 2"/>
    <w:basedOn w:val="TableNormal"/>
    <w:uiPriority w:val="70"/>
    <w:semiHidden/>
    <w:unhideWhenUsed/>
    <w:rsid w:val="009E6ED7"/>
    <w:rPr>
      <w:color w:val="FFFFFF" w:themeColor="background1"/>
    </w:rPr>
    <w:tblPr>
      <w:tblStyleRowBandSize w:val="1"/>
      <w:tblStyleColBandSize w:val="1"/>
    </w:tblPr>
    <w:tcPr>
      <w:shd w:val="clear" w:color="auto" w:fill="84BD0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15E00"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628D00"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628D00" w:themeFill="accent2" w:themeFillShade="BF"/>
      </w:tcPr>
    </w:tblStylePr>
    <w:tblStylePr w:type="band1Vert">
      <w:tblPr/>
      <w:tcPr>
        <w:tcBorders>
          <w:top w:val="nil"/>
          <w:left w:val="nil"/>
          <w:bottom w:val="nil"/>
          <w:right w:val="nil"/>
          <w:insideH w:val="nil"/>
          <w:insideV w:val="nil"/>
        </w:tcBorders>
        <w:shd w:val="clear" w:color="auto" w:fill="628D00" w:themeFill="accent2" w:themeFillShade="BF"/>
      </w:tcPr>
    </w:tblStylePr>
    <w:tblStylePr w:type="band1Horz">
      <w:tblPr/>
      <w:tcPr>
        <w:tcBorders>
          <w:top w:val="nil"/>
          <w:left w:val="nil"/>
          <w:bottom w:val="nil"/>
          <w:right w:val="nil"/>
          <w:insideH w:val="nil"/>
          <w:insideV w:val="nil"/>
        </w:tcBorders>
        <w:shd w:val="clear" w:color="auto" w:fill="628D00" w:themeFill="accent2" w:themeFillShade="BF"/>
      </w:tcPr>
    </w:tblStylePr>
  </w:style>
  <w:style w:type="table" w:styleId="DarkList-Accent3">
    <w:name w:val="Dark List Accent 3"/>
    <w:basedOn w:val="TableNormal"/>
    <w:uiPriority w:val="70"/>
    <w:semiHidden/>
    <w:unhideWhenUsed/>
    <w:rsid w:val="009E6ED7"/>
    <w:rPr>
      <w:color w:val="FFFFFF" w:themeColor="background1"/>
    </w:rPr>
    <w:tblPr>
      <w:tblStyleRowBandSize w:val="1"/>
      <w:tblStyleColBandSize w:val="1"/>
    </w:tblPr>
    <w:tcPr>
      <w:shd w:val="clear" w:color="auto" w:fill="F68B1F"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44505"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C76808"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C76808" w:themeFill="accent3" w:themeFillShade="BF"/>
      </w:tcPr>
    </w:tblStylePr>
    <w:tblStylePr w:type="band1Vert">
      <w:tblPr/>
      <w:tcPr>
        <w:tcBorders>
          <w:top w:val="nil"/>
          <w:left w:val="nil"/>
          <w:bottom w:val="nil"/>
          <w:right w:val="nil"/>
          <w:insideH w:val="nil"/>
          <w:insideV w:val="nil"/>
        </w:tcBorders>
        <w:shd w:val="clear" w:color="auto" w:fill="C76808" w:themeFill="accent3" w:themeFillShade="BF"/>
      </w:tcPr>
    </w:tblStylePr>
    <w:tblStylePr w:type="band1Horz">
      <w:tblPr/>
      <w:tcPr>
        <w:tcBorders>
          <w:top w:val="nil"/>
          <w:left w:val="nil"/>
          <w:bottom w:val="nil"/>
          <w:right w:val="nil"/>
          <w:insideH w:val="nil"/>
          <w:insideV w:val="nil"/>
        </w:tcBorders>
        <w:shd w:val="clear" w:color="auto" w:fill="C76808" w:themeFill="accent3" w:themeFillShade="BF"/>
      </w:tcPr>
    </w:tblStylePr>
  </w:style>
  <w:style w:type="table" w:styleId="DarkList-Accent4">
    <w:name w:val="Dark List Accent 4"/>
    <w:basedOn w:val="TableNormal"/>
    <w:uiPriority w:val="70"/>
    <w:semiHidden/>
    <w:unhideWhenUsed/>
    <w:rsid w:val="009E6ED7"/>
    <w:rPr>
      <w:color w:val="FFFFFF" w:themeColor="background1"/>
    </w:rPr>
    <w:tblPr>
      <w:tblStyleRowBandSize w:val="1"/>
      <w:tblStyleColBandSize w:val="1"/>
    </w:tblPr>
    <w:tcPr>
      <w:shd w:val="clear" w:color="auto" w:fill="9E007E"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003E"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76005E"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76005E" w:themeFill="accent4" w:themeFillShade="BF"/>
      </w:tcPr>
    </w:tblStylePr>
    <w:tblStylePr w:type="band1Vert">
      <w:tblPr/>
      <w:tcPr>
        <w:tcBorders>
          <w:top w:val="nil"/>
          <w:left w:val="nil"/>
          <w:bottom w:val="nil"/>
          <w:right w:val="nil"/>
          <w:insideH w:val="nil"/>
          <w:insideV w:val="nil"/>
        </w:tcBorders>
        <w:shd w:val="clear" w:color="auto" w:fill="76005E" w:themeFill="accent4" w:themeFillShade="BF"/>
      </w:tcPr>
    </w:tblStylePr>
    <w:tblStylePr w:type="band1Horz">
      <w:tblPr/>
      <w:tcPr>
        <w:tcBorders>
          <w:top w:val="nil"/>
          <w:left w:val="nil"/>
          <w:bottom w:val="nil"/>
          <w:right w:val="nil"/>
          <w:insideH w:val="nil"/>
          <w:insideV w:val="nil"/>
        </w:tcBorders>
        <w:shd w:val="clear" w:color="auto" w:fill="76005E" w:themeFill="accent4" w:themeFillShade="BF"/>
      </w:tcPr>
    </w:tblStylePr>
  </w:style>
  <w:style w:type="table" w:styleId="DarkList-Accent5">
    <w:name w:val="Dark List Accent 5"/>
    <w:basedOn w:val="TableNormal"/>
    <w:uiPriority w:val="70"/>
    <w:semiHidden/>
    <w:unhideWhenUsed/>
    <w:rsid w:val="009E6ED7"/>
    <w:rPr>
      <w:color w:val="FFFFFF" w:themeColor="background1"/>
    </w:rPr>
    <w:tblPr>
      <w:tblStyleRowBandSize w:val="1"/>
      <w:tblStyleColBandSize w:val="1"/>
    </w:tblPr>
    <w:tcPr>
      <w:shd w:val="clear" w:color="auto" w:fill="FFE512"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77800"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CCB500"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CCB500" w:themeFill="accent5" w:themeFillShade="BF"/>
      </w:tcPr>
    </w:tblStylePr>
    <w:tblStylePr w:type="band1Vert">
      <w:tblPr/>
      <w:tcPr>
        <w:tcBorders>
          <w:top w:val="nil"/>
          <w:left w:val="nil"/>
          <w:bottom w:val="nil"/>
          <w:right w:val="nil"/>
          <w:insideH w:val="nil"/>
          <w:insideV w:val="nil"/>
        </w:tcBorders>
        <w:shd w:val="clear" w:color="auto" w:fill="CCB500" w:themeFill="accent5" w:themeFillShade="BF"/>
      </w:tcPr>
    </w:tblStylePr>
    <w:tblStylePr w:type="band1Horz">
      <w:tblPr/>
      <w:tcPr>
        <w:tcBorders>
          <w:top w:val="nil"/>
          <w:left w:val="nil"/>
          <w:bottom w:val="nil"/>
          <w:right w:val="nil"/>
          <w:insideH w:val="nil"/>
          <w:insideV w:val="nil"/>
        </w:tcBorders>
        <w:shd w:val="clear" w:color="auto" w:fill="CCB500" w:themeFill="accent5" w:themeFillShade="BF"/>
      </w:tcPr>
    </w:tblStylePr>
  </w:style>
  <w:style w:type="table" w:styleId="DarkList-Accent6">
    <w:name w:val="Dark List Accent 6"/>
    <w:basedOn w:val="TableNormal"/>
    <w:uiPriority w:val="70"/>
    <w:semiHidden/>
    <w:unhideWhenUsed/>
    <w:rsid w:val="009E6ED7"/>
    <w:rPr>
      <w:color w:val="FFFFFF" w:themeColor="background1"/>
    </w:rPr>
    <w:tblPr>
      <w:tblStyleRowBandSize w:val="1"/>
      <w:tblStyleColBandSize w:val="1"/>
    </w:tblPr>
    <w:tcPr>
      <w:shd w:val="clear" w:color="auto" w:fill="8C8279"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5403C"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69615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69615A" w:themeFill="accent6" w:themeFillShade="BF"/>
      </w:tcPr>
    </w:tblStylePr>
    <w:tblStylePr w:type="band1Vert">
      <w:tblPr/>
      <w:tcPr>
        <w:tcBorders>
          <w:top w:val="nil"/>
          <w:left w:val="nil"/>
          <w:bottom w:val="nil"/>
          <w:right w:val="nil"/>
          <w:insideH w:val="nil"/>
          <w:insideV w:val="nil"/>
        </w:tcBorders>
        <w:shd w:val="clear" w:color="auto" w:fill="69615A" w:themeFill="accent6" w:themeFillShade="BF"/>
      </w:tcPr>
    </w:tblStylePr>
    <w:tblStylePr w:type="band1Horz">
      <w:tblPr/>
      <w:tcPr>
        <w:tcBorders>
          <w:top w:val="nil"/>
          <w:left w:val="nil"/>
          <w:bottom w:val="nil"/>
          <w:right w:val="nil"/>
          <w:insideH w:val="nil"/>
          <w:insideV w:val="nil"/>
        </w:tcBorders>
        <w:shd w:val="clear" w:color="auto" w:fill="69615A" w:themeFill="accent6" w:themeFillShade="BF"/>
      </w:tcPr>
    </w:tblStylePr>
  </w:style>
  <w:style w:type="table" w:styleId="LightGrid">
    <w:name w:val="Light Grid"/>
    <w:basedOn w:val="TableNormal"/>
    <w:uiPriority w:val="62"/>
    <w:semiHidden/>
    <w:unhideWhenUsed/>
    <w:rsid w:val="009E6ED7"/>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9E6ED7"/>
    <w:tblPr>
      <w:tblStyleRowBandSize w:val="1"/>
      <w:tblStyleColBandSize w:val="1"/>
      <w:tblBorders>
        <w:top w:val="single" w:sz="8" w:space="0" w:color="00B5E2" w:themeColor="accent1"/>
        <w:left w:val="single" w:sz="8" w:space="0" w:color="00B5E2" w:themeColor="accent1"/>
        <w:bottom w:val="single" w:sz="8" w:space="0" w:color="00B5E2" w:themeColor="accent1"/>
        <w:right w:val="single" w:sz="8" w:space="0" w:color="00B5E2" w:themeColor="accent1"/>
        <w:insideH w:val="single" w:sz="8" w:space="0" w:color="00B5E2" w:themeColor="accent1"/>
        <w:insideV w:val="single" w:sz="8" w:space="0" w:color="00B5E2"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B5E2" w:themeColor="accent1"/>
          <w:left w:val="single" w:sz="8" w:space="0" w:color="00B5E2" w:themeColor="accent1"/>
          <w:bottom w:val="single" w:sz="18" w:space="0" w:color="00B5E2" w:themeColor="accent1"/>
          <w:right w:val="single" w:sz="8" w:space="0" w:color="00B5E2" w:themeColor="accent1"/>
          <w:insideH w:val="nil"/>
          <w:insideV w:val="single" w:sz="8" w:space="0" w:color="00B5E2"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B5E2" w:themeColor="accent1"/>
          <w:left w:val="single" w:sz="8" w:space="0" w:color="00B5E2" w:themeColor="accent1"/>
          <w:bottom w:val="single" w:sz="8" w:space="0" w:color="00B5E2" w:themeColor="accent1"/>
          <w:right w:val="single" w:sz="8" w:space="0" w:color="00B5E2" w:themeColor="accent1"/>
          <w:insideH w:val="nil"/>
          <w:insideV w:val="single" w:sz="8" w:space="0" w:color="00B5E2"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B5E2" w:themeColor="accent1"/>
          <w:left w:val="single" w:sz="8" w:space="0" w:color="00B5E2" w:themeColor="accent1"/>
          <w:bottom w:val="single" w:sz="8" w:space="0" w:color="00B5E2" w:themeColor="accent1"/>
          <w:right w:val="single" w:sz="8" w:space="0" w:color="00B5E2" w:themeColor="accent1"/>
        </w:tcBorders>
      </w:tcPr>
    </w:tblStylePr>
    <w:tblStylePr w:type="band1Vert">
      <w:tblPr/>
      <w:tcPr>
        <w:tcBorders>
          <w:top w:val="single" w:sz="8" w:space="0" w:color="00B5E2" w:themeColor="accent1"/>
          <w:left w:val="single" w:sz="8" w:space="0" w:color="00B5E2" w:themeColor="accent1"/>
          <w:bottom w:val="single" w:sz="8" w:space="0" w:color="00B5E2" w:themeColor="accent1"/>
          <w:right w:val="single" w:sz="8" w:space="0" w:color="00B5E2" w:themeColor="accent1"/>
        </w:tcBorders>
        <w:shd w:val="clear" w:color="auto" w:fill="B8F0FF" w:themeFill="accent1" w:themeFillTint="3F"/>
      </w:tcPr>
    </w:tblStylePr>
    <w:tblStylePr w:type="band1Horz">
      <w:tblPr/>
      <w:tcPr>
        <w:tcBorders>
          <w:top w:val="single" w:sz="8" w:space="0" w:color="00B5E2" w:themeColor="accent1"/>
          <w:left w:val="single" w:sz="8" w:space="0" w:color="00B5E2" w:themeColor="accent1"/>
          <w:bottom w:val="single" w:sz="8" w:space="0" w:color="00B5E2" w:themeColor="accent1"/>
          <w:right w:val="single" w:sz="8" w:space="0" w:color="00B5E2" w:themeColor="accent1"/>
          <w:insideV w:val="single" w:sz="8" w:space="0" w:color="00B5E2" w:themeColor="accent1"/>
        </w:tcBorders>
        <w:shd w:val="clear" w:color="auto" w:fill="B8F0FF" w:themeFill="accent1" w:themeFillTint="3F"/>
      </w:tcPr>
    </w:tblStylePr>
    <w:tblStylePr w:type="band2Horz">
      <w:tblPr/>
      <w:tcPr>
        <w:tcBorders>
          <w:top w:val="single" w:sz="8" w:space="0" w:color="00B5E2" w:themeColor="accent1"/>
          <w:left w:val="single" w:sz="8" w:space="0" w:color="00B5E2" w:themeColor="accent1"/>
          <w:bottom w:val="single" w:sz="8" w:space="0" w:color="00B5E2" w:themeColor="accent1"/>
          <w:right w:val="single" w:sz="8" w:space="0" w:color="00B5E2" w:themeColor="accent1"/>
          <w:insideV w:val="single" w:sz="8" w:space="0" w:color="00B5E2" w:themeColor="accent1"/>
        </w:tcBorders>
      </w:tcPr>
    </w:tblStylePr>
  </w:style>
  <w:style w:type="table" w:styleId="LightGrid-Accent2">
    <w:name w:val="Light Grid Accent 2"/>
    <w:basedOn w:val="TableNormal"/>
    <w:uiPriority w:val="62"/>
    <w:semiHidden/>
    <w:unhideWhenUsed/>
    <w:rsid w:val="009E6ED7"/>
    <w:tblPr>
      <w:tblStyleRowBandSize w:val="1"/>
      <w:tblStyleColBandSize w:val="1"/>
      <w:tblBorders>
        <w:top w:val="single" w:sz="8" w:space="0" w:color="84BD00" w:themeColor="accent2"/>
        <w:left w:val="single" w:sz="8" w:space="0" w:color="84BD00" w:themeColor="accent2"/>
        <w:bottom w:val="single" w:sz="8" w:space="0" w:color="84BD00" w:themeColor="accent2"/>
        <w:right w:val="single" w:sz="8" w:space="0" w:color="84BD00" w:themeColor="accent2"/>
        <w:insideH w:val="single" w:sz="8" w:space="0" w:color="84BD00" w:themeColor="accent2"/>
        <w:insideV w:val="single" w:sz="8" w:space="0" w:color="84BD00"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4BD00" w:themeColor="accent2"/>
          <w:left w:val="single" w:sz="8" w:space="0" w:color="84BD00" w:themeColor="accent2"/>
          <w:bottom w:val="single" w:sz="18" w:space="0" w:color="84BD00" w:themeColor="accent2"/>
          <w:right w:val="single" w:sz="8" w:space="0" w:color="84BD00" w:themeColor="accent2"/>
          <w:insideH w:val="nil"/>
          <w:insideV w:val="single" w:sz="8" w:space="0" w:color="84BD0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4BD00" w:themeColor="accent2"/>
          <w:left w:val="single" w:sz="8" w:space="0" w:color="84BD00" w:themeColor="accent2"/>
          <w:bottom w:val="single" w:sz="8" w:space="0" w:color="84BD00" w:themeColor="accent2"/>
          <w:right w:val="single" w:sz="8" w:space="0" w:color="84BD00" w:themeColor="accent2"/>
          <w:insideH w:val="nil"/>
          <w:insideV w:val="single" w:sz="8" w:space="0" w:color="84BD0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4BD00" w:themeColor="accent2"/>
          <w:left w:val="single" w:sz="8" w:space="0" w:color="84BD00" w:themeColor="accent2"/>
          <w:bottom w:val="single" w:sz="8" w:space="0" w:color="84BD00" w:themeColor="accent2"/>
          <w:right w:val="single" w:sz="8" w:space="0" w:color="84BD00" w:themeColor="accent2"/>
        </w:tcBorders>
      </w:tcPr>
    </w:tblStylePr>
    <w:tblStylePr w:type="band1Vert">
      <w:tblPr/>
      <w:tcPr>
        <w:tcBorders>
          <w:top w:val="single" w:sz="8" w:space="0" w:color="84BD00" w:themeColor="accent2"/>
          <w:left w:val="single" w:sz="8" w:space="0" w:color="84BD00" w:themeColor="accent2"/>
          <w:bottom w:val="single" w:sz="8" w:space="0" w:color="84BD00" w:themeColor="accent2"/>
          <w:right w:val="single" w:sz="8" w:space="0" w:color="84BD00" w:themeColor="accent2"/>
        </w:tcBorders>
        <w:shd w:val="clear" w:color="auto" w:fill="E7FFAF" w:themeFill="accent2" w:themeFillTint="3F"/>
      </w:tcPr>
    </w:tblStylePr>
    <w:tblStylePr w:type="band1Horz">
      <w:tblPr/>
      <w:tcPr>
        <w:tcBorders>
          <w:top w:val="single" w:sz="8" w:space="0" w:color="84BD00" w:themeColor="accent2"/>
          <w:left w:val="single" w:sz="8" w:space="0" w:color="84BD00" w:themeColor="accent2"/>
          <w:bottom w:val="single" w:sz="8" w:space="0" w:color="84BD00" w:themeColor="accent2"/>
          <w:right w:val="single" w:sz="8" w:space="0" w:color="84BD00" w:themeColor="accent2"/>
          <w:insideV w:val="single" w:sz="8" w:space="0" w:color="84BD00" w:themeColor="accent2"/>
        </w:tcBorders>
        <w:shd w:val="clear" w:color="auto" w:fill="E7FFAF" w:themeFill="accent2" w:themeFillTint="3F"/>
      </w:tcPr>
    </w:tblStylePr>
    <w:tblStylePr w:type="band2Horz">
      <w:tblPr/>
      <w:tcPr>
        <w:tcBorders>
          <w:top w:val="single" w:sz="8" w:space="0" w:color="84BD00" w:themeColor="accent2"/>
          <w:left w:val="single" w:sz="8" w:space="0" w:color="84BD00" w:themeColor="accent2"/>
          <w:bottom w:val="single" w:sz="8" w:space="0" w:color="84BD00" w:themeColor="accent2"/>
          <w:right w:val="single" w:sz="8" w:space="0" w:color="84BD00" w:themeColor="accent2"/>
          <w:insideV w:val="single" w:sz="8" w:space="0" w:color="84BD00" w:themeColor="accent2"/>
        </w:tcBorders>
      </w:tcPr>
    </w:tblStylePr>
  </w:style>
  <w:style w:type="table" w:styleId="LightGrid-Accent3">
    <w:name w:val="Light Grid Accent 3"/>
    <w:basedOn w:val="TableNormal"/>
    <w:uiPriority w:val="62"/>
    <w:semiHidden/>
    <w:unhideWhenUsed/>
    <w:rsid w:val="009E6ED7"/>
    <w:tblPr>
      <w:tblStyleRowBandSize w:val="1"/>
      <w:tblStyleColBandSize w:val="1"/>
      <w:tblBorders>
        <w:top w:val="single" w:sz="8" w:space="0" w:color="F68B1F" w:themeColor="accent3"/>
        <w:left w:val="single" w:sz="8" w:space="0" w:color="F68B1F" w:themeColor="accent3"/>
        <w:bottom w:val="single" w:sz="8" w:space="0" w:color="F68B1F" w:themeColor="accent3"/>
        <w:right w:val="single" w:sz="8" w:space="0" w:color="F68B1F" w:themeColor="accent3"/>
        <w:insideH w:val="single" w:sz="8" w:space="0" w:color="F68B1F" w:themeColor="accent3"/>
        <w:insideV w:val="single" w:sz="8" w:space="0" w:color="F68B1F"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68B1F" w:themeColor="accent3"/>
          <w:left w:val="single" w:sz="8" w:space="0" w:color="F68B1F" w:themeColor="accent3"/>
          <w:bottom w:val="single" w:sz="18" w:space="0" w:color="F68B1F" w:themeColor="accent3"/>
          <w:right w:val="single" w:sz="8" w:space="0" w:color="F68B1F" w:themeColor="accent3"/>
          <w:insideH w:val="nil"/>
          <w:insideV w:val="single" w:sz="8" w:space="0" w:color="F68B1F"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68B1F" w:themeColor="accent3"/>
          <w:left w:val="single" w:sz="8" w:space="0" w:color="F68B1F" w:themeColor="accent3"/>
          <w:bottom w:val="single" w:sz="8" w:space="0" w:color="F68B1F" w:themeColor="accent3"/>
          <w:right w:val="single" w:sz="8" w:space="0" w:color="F68B1F" w:themeColor="accent3"/>
          <w:insideH w:val="nil"/>
          <w:insideV w:val="single" w:sz="8" w:space="0" w:color="F68B1F"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68B1F" w:themeColor="accent3"/>
          <w:left w:val="single" w:sz="8" w:space="0" w:color="F68B1F" w:themeColor="accent3"/>
          <w:bottom w:val="single" w:sz="8" w:space="0" w:color="F68B1F" w:themeColor="accent3"/>
          <w:right w:val="single" w:sz="8" w:space="0" w:color="F68B1F" w:themeColor="accent3"/>
        </w:tcBorders>
      </w:tcPr>
    </w:tblStylePr>
    <w:tblStylePr w:type="band1Vert">
      <w:tblPr/>
      <w:tcPr>
        <w:tcBorders>
          <w:top w:val="single" w:sz="8" w:space="0" w:color="F68B1F" w:themeColor="accent3"/>
          <w:left w:val="single" w:sz="8" w:space="0" w:color="F68B1F" w:themeColor="accent3"/>
          <w:bottom w:val="single" w:sz="8" w:space="0" w:color="F68B1F" w:themeColor="accent3"/>
          <w:right w:val="single" w:sz="8" w:space="0" w:color="F68B1F" w:themeColor="accent3"/>
        </w:tcBorders>
        <w:shd w:val="clear" w:color="auto" w:fill="FCE2C7" w:themeFill="accent3" w:themeFillTint="3F"/>
      </w:tcPr>
    </w:tblStylePr>
    <w:tblStylePr w:type="band1Horz">
      <w:tblPr/>
      <w:tcPr>
        <w:tcBorders>
          <w:top w:val="single" w:sz="8" w:space="0" w:color="F68B1F" w:themeColor="accent3"/>
          <w:left w:val="single" w:sz="8" w:space="0" w:color="F68B1F" w:themeColor="accent3"/>
          <w:bottom w:val="single" w:sz="8" w:space="0" w:color="F68B1F" w:themeColor="accent3"/>
          <w:right w:val="single" w:sz="8" w:space="0" w:color="F68B1F" w:themeColor="accent3"/>
          <w:insideV w:val="single" w:sz="8" w:space="0" w:color="F68B1F" w:themeColor="accent3"/>
        </w:tcBorders>
        <w:shd w:val="clear" w:color="auto" w:fill="FCE2C7" w:themeFill="accent3" w:themeFillTint="3F"/>
      </w:tcPr>
    </w:tblStylePr>
    <w:tblStylePr w:type="band2Horz">
      <w:tblPr/>
      <w:tcPr>
        <w:tcBorders>
          <w:top w:val="single" w:sz="8" w:space="0" w:color="F68B1F" w:themeColor="accent3"/>
          <w:left w:val="single" w:sz="8" w:space="0" w:color="F68B1F" w:themeColor="accent3"/>
          <w:bottom w:val="single" w:sz="8" w:space="0" w:color="F68B1F" w:themeColor="accent3"/>
          <w:right w:val="single" w:sz="8" w:space="0" w:color="F68B1F" w:themeColor="accent3"/>
          <w:insideV w:val="single" w:sz="8" w:space="0" w:color="F68B1F" w:themeColor="accent3"/>
        </w:tcBorders>
      </w:tcPr>
    </w:tblStylePr>
  </w:style>
  <w:style w:type="table" w:styleId="LightGrid-Accent4">
    <w:name w:val="Light Grid Accent 4"/>
    <w:basedOn w:val="TableNormal"/>
    <w:uiPriority w:val="62"/>
    <w:semiHidden/>
    <w:unhideWhenUsed/>
    <w:rsid w:val="009E6ED7"/>
    <w:tblPr>
      <w:tblStyleRowBandSize w:val="1"/>
      <w:tblStyleColBandSize w:val="1"/>
      <w:tblBorders>
        <w:top w:val="single" w:sz="8" w:space="0" w:color="9E007E" w:themeColor="accent4"/>
        <w:left w:val="single" w:sz="8" w:space="0" w:color="9E007E" w:themeColor="accent4"/>
        <w:bottom w:val="single" w:sz="8" w:space="0" w:color="9E007E" w:themeColor="accent4"/>
        <w:right w:val="single" w:sz="8" w:space="0" w:color="9E007E" w:themeColor="accent4"/>
        <w:insideH w:val="single" w:sz="8" w:space="0" w:color="9E007E" w:themeColor="accent4"/>
        <w:insideV w:val="single" w:sz="8" w:space="0" w:color="9E007E"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E007E" w:themeColor="accent4"/>
          <w:left w:val="single" w:sz="8" w:space="0" w:color="9E007E" w:themeColor="accent4"/>
          <w:bottom w:val="single" w:sz="18" w:space="0" w:color="9E007E" w:themeColor="accent4"/>
          <w:right w:val="single" w:sz="8" w:space="0" w:color="9E007E" w:themeColor="accent4"/>
          <w:insideH w:val="nil"/>
          <w:insideV w:val="single" w:sz="8" w:space="0" w:color="9E007E"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E007E" w:themeColor="accent4"/>
          <w:left w:val="single" w:sz="8" w:space="0" w:color="9E007E" w:themeColor="accent4"/>
          <w:bottom w:val="single" w:sz="8" w:space="0" w:color="9E007E" w:themeColor="accent4"/>
          <w:right w:val="single" w:sz="8" w:space="0" w:color="9E007E" w:themeColor="accent4"/>
          <w:insideH w:val="nil"/>
          <w:insideV w:val="single" w:sz="8" w:space="0" w:color="9E007E"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E007E" w:themeColor="accent4"/>
          <w:left w:val="single" w:sz="8" w:space="0" w:color="9E007E" w:themeColor="accent4"/>
          <w:bottom w:val="single" w:sz="8" w:space="0" w:color="9E007E" w:themeColor="accent4"/>
          <w:right w:val="single" w:sz="8" w:space="0" w:color="9E007E" w:themeColor="accent4"/>
        </w:tcBorders>
      </w:tcPr>
    </w:tblStylePr>
    <w:tblStylePr w:type="band1Vert">
      <w:tblPr/>
      <w:tcPr>
        <w:tcBorders>
          <w:top w:val="single" w:sz="8" w:space="0" w:color="9E007E" w:themeColor="accent4"/>
          <w:left w:val="single" w:sz="8" w:space="0" w:color="9E007E" w:themeColor="accent4"/>
          <w:bottom w:val="single" w:sz="8" w:space="0" w:color="9E007E" w:themeColor="accent4"/>
          <w:right w:val="single" w:sz="8" w:space="0" w:color="9E007E" w:themeColor="accent4"/>
        </w:tcBorders>
        <w:shd w:val="clear" w:color="auto" w:fill="FFA8ED" w:themeFill="accent4" w:themeFillTint="3F"/>
      </w:tcPr>
    </w:tblStylePr>
    <w:tblStylePr w:type="band1Horz">
      <w:tblPr/>
      <w:tcPr>
        <w:tcBorders>
          <w:top w:val="single" w:sz="8" w:space="0" w:color="9E007E" w:themeColor="accent4"/>
          <w:left w:val="single" w:sz="8" w:space="0" w:color="9E007E" w:themeColor="accent4"/>
          <w:bottom w:val="single" w:sz="8" w:space="0" w:color="9E007E" w:themeColor="accent4"/>
          <w:right w:val="single" w:sz="8" w:space="0" w:color="9E007E" w:themeColor="accent4"/>
          <w:insideV w:val="single" w:sz="8" w:space="0" w:color="9E007E" w:themeColor="accent4"/>
        </w:tcBorders>
        <w:shd w:val="clear" w:color="auto" w:fill="FFA8ED" w:themeFill="accent4" w:themeFillTint="3F"/>
      </w:tcPr>
    </w:tblStylePr>
    <w:tblStylePr w:type="band2Horz">
      <w:tblPr/>
      <w:tcPr>
        <w:tcBorders>
          <w:top w:val="single" w:sz="8" w:space="0" w:color="9E007E" w:themeColor="accent4"/>
          <w:left w:val="single" w:sz="8" w:space="0" w:color="9E007E" w:themeColor="accent4"/>
          <w:bottom w:val="single" w:sz="8" w:space="0" w:color="9E007E" w:themeColor="accent4"/>
          <w:right w:val="single" w:sz="8" w:space="0" w:color="9E007E" w:themeColor="accent4"/>
          <w:insideV w:val="single" w:sz="8" w:space="0" w:color="9E007E" w:themeColor="accent4"/>
        </w:tcBorders>
      </w:tcPr>
    </w:tblStylePr>
  </w:style>
  <w:style w:type="table" w:styleId="LightGrid-Accent5">
    <w:name w:val="Light Grid Accent 5"/>
    <w:basedOn w:val="TableNormal"/>
    <w:uiPriority w:val="62"/>
    <w:semiHidden/>
    <w:unhideWhenUsed/>
    <w:rsid w:val="009E6ED7"/>
    <w:tblPr>
      <w:tblStyleRowBandSize w:val="1"/>
      <w:tblStyleColBandSize w:val="1"/>
      <w:tblBorders>
        <w:top w:val="single" w:sz="8" w:space="0" w:color="FFE512" w:themeColor="accent5"/>
        <w:left w:val="single" w:sz="8" w:space="0" w:color="FFE512" w:themeColor="accent5"/>
        <w:bottom w:val="single" w:sz="8" w:space="0" w:color="FFE512" w:themeColor="accent5"/>
        <w:right w:val="single" w:sz="8" w:space="0" w:color="FFE512" w:themeColor="accent5"/>
        <w:insideH w:val="single" w:sz="8" w:space="0" w:color="FFE512" w:themeColor="accent5"/>
        <w:insideV w:val="single" w:sz="8" w:space="0" w:color="FFE512"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E512" w:themeColor="accent5"/>
          <w:left w:val="single" w:sz="8" w:space="0" w:color="FFE512" w:themeColor="accent5"/>
          <w:bottom w:val="single" w:sz="18" w:space="0" w:color="FFE512" w:themeColor="accent5"/>
          <w:right w:val="single" w:sz="8" w:space="0" w:color="FFE512" w:themeColor="accent5"/>
          <w:insideH w:val="nil"/>
          <w:insideV w:val="single" w:sz="8" w:space="0" w:color="FFE512"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E512" w:themeColor="accent5"/>
          <w:left w:val="single" w:sz="8" w:space="0" w:color="FFE512" w:themeColor="accent5"/>
          <w:bottom w:val="single" w:sz="8" w:space="0" w:color="FFE512" w:themeColor="accent5"/>
          <w:right w:val="single" w:sz="8" w:space="0" w:color="FFE512" w:themeColor="accent5"/>
          <w:insideH w:val="nil"/>
          <w:insideV w:val="single" w:sz="8" w:space="0" w:color="FFE512"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E512" w:themeColor="accent5"/>
          <w:left w:val="single" w:sz="8" w:space="0" w:color="FFE512" w:themeColor="accent5"/>
          <w:bottom w:val="single" w:sz="8" w:space="0" w:color="FFE512" w:themeColor="accent5"/>
          <w:right w:val="single" w:sz="8" w:space="0" w:color="FFE512" w:themeColor="accent5"/>
        </w:tcBorders>
      </w:tcPr>
    </w:tblStylePr>
    <w:tblStylePr w:type="band1Vert">
      <w:tblPr/>
      <w:tcPr>
        <w:tcBorders>
          <w:top w:val="single" w:sz="8" w:space="0" w:color="FFE512" w:themeColor="accent5"/>
          <w:left w:val="single" w:sz="8" w:space="0" w:color="FFE512" w:themeColor="accent5"/>
          <w:bottom w:val="single" w:sz="8" w:space="0" w:color="FFE512" w:themeColor="accent5"/>
          <w:right w:val="single" w:sz="8" w:space="0" w:color="FFE512" w:themeColor="accent5"/>
        </w:tcBorders>
        <w:shd w:val="clear" w:color="auto" w:fill="FFF8C4" w:themeFill="accent5" w:themeFillTint="3F"/>
      </w:tcPr>
    </w:tblStylePr>
    <w:tblStylePr w:type="band1Horz">
      <w:tblPr/>
      <w:tcPr>
        <w:tcBorders>
          <w:top w:val="single" w:sz="8" w:space="0" w:color="FFE512" w:themeColor="accent5"/>
          <w:left w:val="single" w:sz="8" w:space="0" w:color="FFE512" w:themeColor="accent5"/>
          <w:bottom w:val="single" w:sz="8" w:space="0" w:color="FFE512" w:themeColor="accent5"/>
          <w:right w:val="single" w:sz="8" w:space="0" w:color="FFE512" w:themeColor="accent5"/>
          <w:insideV w:val="single" w:sz="8" w:space="0" w:color="FFE512" w:themeColor="accent5"/>
        </w:tcBorders>
        <w:shd w:val="clear" w:color="auto" w:fill="FFF8C4" w:themeFill="accent5" w:themeFillTint="3F"/>
      </w:tcPr>
    </w:tblStylePr>
    <w:tblStylePr w:type="band2Horz">
      <w:tblPr/>
      <w:tcPr>
        <w:tcBorders>
          <w:top w:val="single" w:sz="8" w:space="0" w:color="FFE512" w:themeColor="accent5"/>
          <w:left w:val="single" w:sz="8" w:space="0" w:color="FFE512" w:themeColor="accent5"/>
          <w:bottom w:val="single" w:sz="8" w:space="0" w:color="FFE512" w:themeColor="accent5"/>
          <w:right w:val="single" w:sz="8" w:space="0" w:color="FFE512" w:themeColor="accent5"/>
          <w:insideV w:val="single" w:sz="8" w:space="0" w:color="FFE512" w:themeColor="accent5"/>
        </w:tcBorders>
      </w:tcPr>
    </w:tblStylePr>
  </w:style>
  <w:style w:type="table" w:styleId="LightGrid-Accent6">
    <w:name w:val="Light Grid Accent 6"/>
    <w:basedOn w:val="TableNormal"/>
    <w:uiPriority w:val="62"/>
    <w:semiHidden/>
    <w:unhideWhenUsed/>
    <w:rsid w:val="009E6ED7"/>
    <w:tblPr>
      <w:tblStyleRowBandSize w:val="1"/>
      <w:tblStyleColBandSize w:val="1"/>
      <w:tblBorders>
        <w:top w:val="single" w:sz="8" w:space="0" w:color="8C8279" w:themeColor="accent6"/>
        <w:left w:val="single" w:sz="8" w:space="0" w:color="8C8279" w:themeColor="accent6"/>
        <w:bottom w:val="single" w:sz="8" w:space="0" w:color="8C8279" w:themeColor="accent6"/>
        <w:right w:val="single" w:sz="8" w:space="0" w:color="8C8279" w:themeColor="accent6"/>
        <w:insideH w:val="single" w:sz="8" w:space="0" w:color="8C8279" w:themeColor="accent6"/>
        <w:insideV w:val="single" w:sz="8" w:space="0" w:color="8C8279"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C8279" w:themeColor="accent6"/>
          <w:left w:val="single" w:sz="8" w:space="0" w:color="8C8279" w:themeColor="accent6"/>
          <w:bottom w:val="single" w:sz="18" w:space="0" w:color="8C8279" w:themeColor="accent6"/>
          <w:right w:val="single" w:sz="8" w:space="0" w:color="8C8279" w:themeColor="accent6"/>
          <w:insideH w:val="nil"/>
          <w:insideV w:val="single" w:sz="8" w:space="0" w:color="8C8279"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C8279" w:themeColor="accent6"/>
          <w:left w:val="single" w:sz="8" w:space="0" w:color="8C8279" w:themeColor="accent6"/>
          <w:bottom w:val="single" w:sz="8" w:space="0" w:color="8C8279" w:themeColor="accent6"/>
          <w:right w:val="single" w:sz="8" w:space="0" w:color="8C8279" w:themeColor="accent6"/>
          <w:insideH w:val="nil"/>
          <w:insideV w:val="single" w:sz="8" w:space="0" w:color="8C8279"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C8279" w:themeColor="accent6"/>
          <w:left w:val="single" w:sz="8" w:space="0" w:color="8C8279" w:themeColor="accent6"/>
          <w:bottom w:val="single" w:sz="8" w:space="0" w:color="8C8279" w:themeColor="accent6"/>
          <w:right w:val="single" w:sz="8" w:space="0" w:color="8C8279" w:themeColor="accent6"/>
        </w:tcBorders>
      </w:tcPr>
    </w:tblStylePr>
    <w:tblStylePr w:type="band1Vert">
      <w:tblPr/>
      <w:tcPr>
        <w:tcBorders>
          <w:top w:val="single" w:sz="8" w:space="0" w:color="8C8279" w:themeColor="accent6"/>
          <w:left w:val="single" w:sz="8" w:space="0" w:color="8C8279" w:themeColor="accent6"/>
          <w:bottom w:val="single" w:sz="8" w:space="0" w:color="8C8279" w:themeColor="accent6"/>
          <w:right w:val="single" w:sz="8" w:space="0" w:color="8C8279" w:themeColor="accent6"/>
        </w:tcBorders>
        <w:shd w:val="clear" w:color="auto" w:fill="E2E0DD" w:themeFill="accent6" w:themeFillTint="3F"/>
      </w:tcPr>
    </w:tblStylePr>
    <w:tblStylePr w:type="band1Horz">
      <w:tblPr/>
      <w:tcPr>
        <w:tcBorders>
          <w:top w:val="single" w:sz="8" w:space="0" w:color="8C8279" w:themeColor="accent6"/>
          <w:left w:val="single" w:sz="8" w:space="0" w:color="8C8279" w:themeColor="accent6"/>
          <w:bottom w:val="single" w:sz="8" w:space="0" w:color="8C8279" w:themeColor="accent6"/>
          <w:right w:val="single" w:sz="8" w:space="0" w:color="8C8279" w:themeColor="accent6"/>
          <w:insideV w:val="single" w:sz="8" w:space="0" w:color="8C8279" w:themeColor="accent6"/>
        </w:tcBorders>
        <w:shd w:val="clear" w:color="auto" w:fill="E2E0DD" w:themeFill="accent6" w:themeFillTint="3F"/>
      </w:tcPr>
    </w:tblStylePr>
    <w:tblStylePr w:type="band2Horz">
      <w:tblPr/>
      <w:tcPr>
        <w:tcBorders>
          <w:top w:val="single" w:sz="8" w:space="0" w:color="8C8279" w:themeColor="accent6"/>
          <w:left w:val="single" w:sz="8" w:space="0" w:color="8C8279" w:themeColor="accent6"/>
          <w:bottom w:val="single" w:sz="8" w:space="0" w:color="8C8279" w:themeColor="accent6"/>
          <w:right w:val="single" w:sz="8" w:space="0" w:color="8C8279" w:themeColor="accent6"/>
          <w:insideV w:val="single" w:sz="8" w:space="0" w:color="8C8279" w:themeColor="accent6"/>
        </w:tcBorders>
      </w:tcPr>
    </w:tblStylePr>
  </w:style>
  <w:style w:type="table" w:styleId="LightList">
    <w:name w:val="Light List"/>
    <w:basedOn w:val="TableNormal"/>
    <w:uiPriority w:val="61"/>
    <w:semiHidden/>
    <w:unhideWhenUsed/>
    <w:rsid w:val="009E6ED7"/>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9E6ED7"/>
    <w:tblPr>
      <w:tblStyleRowBandSize w:val="1"/>
      <w:tblStyleColBandSize w:val="1"/>
      <w:tblBorders>
        <w:top w:val="single" w:sz="8" w:space="0" w:color="00B5E2" w:themeColor="accent1"/>
        <w:left w:val="single" w:sz="8" w:space="0" w:color="00B5E2" w:themeColor="accent1"/>
        <w:bottom w:val="single" w:sz="8" w:space="0" w:color="00B5E2" w:themeColor="accent1"/>
        <w:right w:val="single" w:sz="8" w:space="0" w:color="00B5E2" w:themeColor="accent1"/>
      </w:tblBorders>
    </w:tblPr>
    <w:tblStylePr w:type="firstRow">
      <w:pPr>
        <w:spacing w:before="0" w:after="0" w:line="240" w:lineRule="auto"/>
      </w:pPr>
      <w:rPr>
        <w:b/>
        <w:bCs/>
        <w:color w:val="FFFFFF" w:themeColor="background1"/>
      </w:rPr>
      <w:tblPr/>
      <w:tcPr>
        <w:shd w:val="clear" w:color="auto" w:fill="00B5E2" w:themeFill="accent1"/>
      </w:tcPr>
    </w:tblStylePr>
    <w:tblStylePr w:type="lastRow">
      <w:pPr>
        <w:spacing w:before="0" w:after="0" w:line="240" w:lineRule="auto"/>
      </w:pPr>
      <w:rPr>
        <w:b/>
        <w:bCs/>
      </w:rPr>
      <w:tblPr/>
      <w:tcPr>
        <w:tcBorders>
          <w:top w:val="double" w:sz="6" w:space="0" w:color="00B5E2" w:themeColor="accent1"/>
          <w:left w:val="single" w:sz="8" w:space="0" w:color="00B5E2" w:themeColor="accent1"/>
          <w:bottom w:val="single" w:sz="8" w:space="0" w:color="00B5E2" w:themeColor="accent1"/>
          <w:right w:val="single" w:sz="8" w:space="0" w:color="00B5E2" w:themeColor="accent1"/>
        </w:tcBorders>
      </w:tcPr>
    </w:tblStylePr>
    <w:tblStylePr w:type="firstCol">
      <w:rPr>
        <w:b/>
        <w:bCs/>
      </w:rPr>
    </w:tblStylePr>
    <w:tblStylePr w:type="lastCol">
      <w:rPr>
        <w:b/>
        <w:bCs/>
      </w:rPr>
    </w:tblStylePr>
    <w:tblStylePr w:type="band1Vert">
      <w:tblPr/>
      <w:tcPr>
        <w:tcBorders>
          <w:top w:val="single" w:sz="8" w:space="0" w:color="00B5E2" w:themeColor="accent1"/>
          <w:left w:val="single" w:sz="8" w:space="0" w:color="00B5E2" w:themeColor="accent1"/>
          <w:bottom w:val="single" w:sz="8" w:space="0" w:color="00B5E2" w:themeColor="accent1"/>
          <w:right w:val="single" w:sz="8" w:space="0" w:color="00B5E2" w:themeColor="accent1"/>
        </w:tcBorders>
      </w:tcPr>
    </w:tblStylePr>
    <w:tblStylePr w:type="band1Horz">
      <w:tblPr/>
      <w:tcPr>
        <w:tcBorders>
          <w:top w:val="single" w:sz="8" w:space="0" w:color="00B5E2" w:themeColor="accent1"/>
          <w:left w:val="single" w:sz="8" w:space="0" w:color="00B5E2" w:themeColor="accent1"/>
          <w:bottom w:val="single" w:sz="8" w:space="0" w:color="00B5E2" w:themeColor="accent1"/>
          <w:right w:val="single" w:sz="8" w:space="0" w:color="00B5E2" w:themeColor="accent1"/>
        </w:tcBorders>
      </w:tcPr>
    </w:tblStylePr>
  </w:style>
  <w:style w:type="table" w:styleId="LightList-Accent2">
    <w:name w:val="Light List Accent 2"/>
    <w:basedOn w:val="TableNormal"/>
    <w:uiPriority w:val="61"/>
    <w:semiHidden/>
    <w:unhideWhenUsed/>
    <w:rsid w:val="009E6ED7"/>
    <w:tblPr>
      <w:tblStyleRowBandSize w:val="1"/>
      <w:tblStyleColBandSize w:val="1"/>
      <w:tblBorders>
        <w:top w:val="single" w:sz="8" w:space="0" w:color="84BD00" w:themeColor="accent2"/>
        <w:left w:val="single" w:sz="8" w:space="0" w:color="84BD00" w:themeColor="accent2"/>
        <w:bottom w:val="single" w:sz="8" w:space="0" w:color="84BD00" w:themeColor="accent2"/>
        <w:right w:val="single" w:sz="8" w:space="0" w:color="84BD00" w:themeColor="accent2"/>
      </w:tblBorders>
    </w:tblPr>
    <w:tblStylePr w:type="firstRow">
      <w:pPr>
        <w:spacing w:before="0" w:after="0" w:line="240" w:lineRule="auto"/>
      </w:pPr>
      <w:rPr>
        <w:b/>
        <w:bCs/>
        <w:color w:val="FFFFFF" w:themeColor="background1"/>
      </w:rPr>
      <w:tblPr/>
      <w:tcPr>
        <w:shd w:val="clear" w:color="auto" w:fill="84BD00" w:themeFill="accent2"/>
      </w:tcPr>
    </w:tblStylePr>
    <w:tblStylePr w:type="lastRow">
      <w:pPr>
        <w:spacing w:before="0" w:after="0" w:line="240" w:lineRule="auto"/>
      </w:pPr>
      <w:rPr>
        <w:b/>
        <w:bCs/>
      </w:rPr>
      <w:tblPr/>
      <w:tcPr>
        <w:tcBorders>
          <w:top w:val="double" w:sz="6" w:space="0" w:color="84BD00" w:themeColor="accent2"/>
          <w:left w:val="single" w:sz="8" w:space="0" w:color="84BD00" w:themeColor="accent2"/>
          <w:bottom w:val="single" w:sz="8" w:space="0" w:color="84BD00" w:themeColor="accent2"/>
          <w:right w:val="single" w:sz="8" w:space="0" w:color="84BD00" w:themeColor="accent2"/>
        </w:tcBorders>
      </w:tcPr>
    </w:tblStylePr>
    <w:tblStylePr w:type="firstCol">
      <w:rPr>
        <w:b/>
        <w:bCs/>
      </w:rPr>
    </w:tblStylePr>
    <w:tblStylePr w:type="lastCol">
      <w:rPr>
        <w:b/>
        <w:bCs/>
      </w:rPr>
    </w:tblStylePr>
    <w:tblStylePr w:type="band1Vert">
      <w:tblPr/>
      <w:tcPr>
        <w:tcBorders>
          <w:top w:val="single" w:sz="8" w:space="0" w:color="84BD00" w:themeColor="accent2"/>
          <w:left w:val="single" w:sz="8" w:space="0" w:color="84BD00" w:themeColor="accent2"/>
          <w:bottom w:val="single" w:sz="8" w:space="0" w:color="84BD00" w:themeColor="accent2"/>
          <w:right w:val="single" w:sz="8" w:space="0" w:color="84BD00" w:themeColor="accent2"/>
        </w:tcBorders>
      </w:tcPr>
    </w:tblStylePr>
    <w:tblStylePr w:type="band1Horz">
      <w:tblPr/>
      <w:tcPr>
        <w:tcBorders>
          <w:top w:val="single" w:sz="8" w:space="0" w:color="84BD00" w:themeColor="accent2"/>
          <w:left w:val="single" w:sz="8" w:space="0" w:color="84BD00" w:themeColor="accent2"/>
          <w:bottom w:val="single" w:sz="8" w:space="0" w:color="84BD00" w:themeColor="accent2"/>
          <w:right w:val="single" w:sz="8" w:space="0" w:color="84BD00" w:themeColor="accent2"/>
        </w:tcBorders>
      </w:tcPr>
    </w:tblStylePr>
  </w:style>
  <w:style w:type="table" w:styleId="LightList-Accent3">
    <w:name w:val="Light List Accent 3"/>
    <w:basedOn w:val="TableNormal"/>
    <w:uiPriority w:val="61"/>
    <w:semiHidden/>
    <w:unhideWhenUsed/>
    <w:rsid w:val="009E6ED7"/>
    <w:tblPr>
      <w:tblStyleRowBandSize w:val="1"/>
      <w:tblStyleColBandSize w:val="1"/>
      <w:tblBorders>
        <w:top w:val="single" w:sz="8" w:space="0" w:color="F68B1F" w:themeColor="accent3"/>
        <w:left w:val="single" w:sz="8" w:space="0" w:color="F68B1F" w:themeColor="accent3"/>
        <w:bottom w:val="single" w:sz="8" w:space="0" w:color="F68B1F" w:themeColor="accent3"/>
        <w:right w:val="single" w:sz="8" w:space="0" w:color="F68B1F" w:themeColor="accent3"/>
      </w:tblBorders>
    </w:tblPr>
    <w:tblStylePr w:type="firstRow">
      <w:pPr>
        <w:spacing w:before="0" w:after="0" w:line="240" w:lineRule="auto"/>
      </w:pPr>
      <w:rPr>
        <w:b/>
        <w:bCs/>
        <w:color w:val="FFFFFF" w:themeColor="background1"/>
      </w:rPr>
      <w:tblPr/>
      <w:tcPr>
        <w:shd w:val="clear" w:color="auto" w:fill="F68B1F" w:themeFill="accent3"/>
      </w:tcPr>
    </w:tblStylePr>
    <w:tblStylePr w:type="lastRow">
      <w:pPr>
        <w:spacing w:before="0" w:after="0" w:line="240" w:lineRule="auto"/>
      </w:pPr>
      <w:rPr>
        <w:b/>
        <w:bCs/>
      </w:rPr>
      <w:tblPr/>
      <w:tcPr>
        <w:tcBorders>
          <w:top w:val="double" w:sz="6" w:space="0" w:color="F68B1F" w:themeColor="accent3"/>
          <w:left w:val="single" w:sz="8" w:space="0" w:color="F68B1F" w:themeColor="accent3"/>
          <w:bottom w:val="single" w:sz="8" w:space="0" w:color="F68B1F" w:themeColor="accent3"/>
          <w:right w:val="single" w:sz="8" w:space="0" w:color="F68B1F" w:themeColor="accent3"/>
        </w:tcBorders>
      </w:tcPr>
    </w:tblStylePr>
    <w:tblStylePr w:type="firstCol">
      <w:rPr>
        <w:b/>
        <w:bCs/>
      </w:rPr>
    </w:tblStylePr>
    <w:tblStylePr w:type="lastCol">
      <w:rPr>
        <w:b/>
        <w:bCs/>
      </w:rPr>
    </w:tblStylePr>
    <w:tblStylePr w:type="band1Vert">
      <w:tblPr/>
      <w:tcPr>
        <w:tcBorders>
          <w:top w:val="single" w:sz="8" w:space="0" w:color="F68B1F" w:themeColor="accent3"/>
          <w:left w:val="single" w:sz="8" w:space="0" w:color="F68B1F" w:themeColor="accent3"/>
          <w:bottom w:val="single" w:sz="8" w:space="0" w:color="F68B1F" w:themeColor="accent3"/>
          <w:right w:val="single" w:sz="8" w:space="0" w:color="F68B1F" w:themeColor="accent3"/>
        </w:tcBorders>
      </w:tcPr>
    </w:tblStylePr>
    <w:tblStylePr w:type="band1Horz">
      <w:tblPr/>
      <w:tcPr>
        <w:tcBorders>
          <w:top w:val="single" w:sz="8" w:space="0" w:color="F68B1F" w:themeColor="accent3"/>
          <w:left w:val="single" w:sz="8" w:space="0" w:color="F68B1F" w:themeColor="accent3"/>
          <w:bottom w:val="single" w:sz="8" w:space="0" w:color="F68B1F" w:themeColor="accent3"/>
          <w:right w:val="single" w:sz="8" w:space="0" w:color="F68B1F" w:themeColor="accent3"/>
        </w:tcBorders>
      </w:tcPr>
    </w:tblStylePr>
  </w:style>
  <w:style w:type="table" w:styleId="LightList-Accent4">
    <w:name w:val="Light List Accent 4"/>
    <w:basedOn w:val="TableNormal"/>
    <w:uiPriority w:val="61"/>
    <w:semiHidden/>
    <w:unhideWhenUsed/>
    <w:rsid w:val="009E6ED7"/>
    <w:tblPr>
      <w:tblStyleRowBandSize w:val="1"/>
      <w:tblStyleColBandSize w:val="1"/>
      <w:tblBorders>
        <w:top w:val="single" w:sz="8" w:space="0" w:color="9E007E" w:themeColor="accent4"/>
        <w:left w:val="single" w:sz="8" w:space="0" w:color="9E007E" w:themeColor="accent4"/>
        <w:bottom w:val="single" w:sz="8" w:space="0" w:color="9E007E" w:themeColor="accent4"/>
        <w:right w:val="single" w:sz="8" w:space="0" w:color="9E007E" w:themeColor="accent4"/>
      </w:tblBorders>
    </w:tblPr>
    <w:tblStylePr w:type="firstRow">
      <w:pPr>
        <w:spacing w:before="0" w:after="0" w:line="240" w:lineRule="auto"/>
      </w:pPr>
      <w:rPr>
        <w:b/>
        <w:bCs/>
        <w:color w:val="FFFFFF" w:themeColor="background1"/>
      </w:rPr>
      <w:tblPr/>
      <w:tcPr>
        <w:shd w:val="clear" w:color="auto" w:fill="9E007E" w:themeFill="accent4"/>
      </w:tcPr>
    </w:tblStylePr>
    <w:tblStylePr w:type="lastRow">
      <w:pPr>
        <w:spacing w:before="0" w:after="0" w:line="240" w:lineRule="auto"/>
      </w:pPr>
      <w:rPr>
        <w:b/>
        <w:bCs/>
      </w:rPr>
      <w:tblPr/>
      <w:tcPr>
        <w:tcBorders>
          <w:top w:val="double" w:sz="6" w:space="0" w:color="9E007E" w:themeColor="accent4"/>
          <w:left w:val="single" w:sz="8" w:space="0" w:color="9E007E" w:themeColor="accent4"/>
          <w:bottom w:val="single" w:sz="8" w:space="0" w:color="9E007E" w:themeColor="accent4"/>
          <w:right w:val="single" w:sz="8" w:space="0" w:color="9E007E" w:themeColor="accent4"/>
        </w:tcBorders>
      </w:tcPr>
    </w:tblStylePr>
    <w:tblStylePr w:type="firstCol">
      <w:rPr>
        <w:b/>
        <w:bCs/>
      </w:rPr>
    </w:tblStylePr>
    <w:tblStylePr w:type="lastCol">
      <w:rPr>
        <w:b/>
        <w:bCs/>
      </w:rPr>
    </w:tblStylePr>
    <w:tblStylePr w:type="band1Vert">
      <w:tblPr/>
      <w:tcPr>
        <w:tcBorders>
          <w:top w:val="single" w:sz="8" w:space="0" w:color="9E007E" w:themeColor="accent4"/>
          <w:left w:val="single" w:sz="8" w:space="0" w:color="9E007E" w:themeColor="accent4"/>
          <w:bottom w:val="single" w:sz="8" w:space="0" w:color="9E007E" w:themeColor="accent4"/>
          <w:right w:val="single" w:sz="8" w:space="0" w:color="9E007E" w:themeColor="accent4"/>
        </w:tcBorders>
      </w:tcPr>
    </w:tblStylePr>
    <w:tblStylePr w:type="band1Horz">
      <w:tblPr/>
      <w:tcPr>
        <w:tcBorders>
          <w:top w:val="single" w:sz="8" w:space="0" w:color="9E007E" w:themeColor="accent4"/>
          <w:left w:val="single" w:sz="8" w:space="0" w:color="9E007E" w:themeColor="accent4"/>
          <w:bottom w:val="single" w:sz="8" w:space="0" w:color="9E007E" w:themeColor="accent4"/>
          <w:right w:val="single" w:sz="8" w:space="0" w:color="9E007E" w:themeColor="accent4"/>
        </w:tcBorders>
      </w:tcPr>
    </w:tblStylePr>
  </w:style>
  <w:style w:type="table" w:styleId="LightList-Accent5">
    <w:name w:val="Light List Accent 5"/>
    <w:basedOn w:val="TableNormal"/>
    <w:uiPriority w:val="61"/>
    <w:semiHidden/>
    <w:unhideWhenUsed/>
    <w:rsid w:val="009E6ED7"/>
    <w:tblPr>
      <w:tblStyleRowBandSize w:val="1"/>
      <w:tblStyleColBandSize w:val="1"/>
      <w:tblBorders>
        <w:top w:val="single" w:sz="8" w:space="0" w:color="FFE512" w:themeColor="accent5"/>
        <w:left w:val="single" w:sz="8" w:space="0" w:color="FFE512" w:themeColor="accent5"/>
        <w:bottom w:val="single" w:sz="8" w:space="0" w:color="FFE512" w:themeColor="accent5"/>
        <w:right w:val="single" w:sz="8" w:space="0" w:color="FFE512" w:themeColor="accent5"/>
      </w:tblBorders>
    </w:tblPr>
    <w:tblStylePr w:type="firstRow">
      <w:pPr>
        <w:spacing w:before="0" w:after="0" w:line="240" w:lineRule="auto"/>
      </w:pPr>
      <w:rPr>
        <w:b/>
        <w:bCs/>
        <w:color w:val="FFFFFF" w:themeColor="background1"/>
      </w:rPr>
      <w:tblPr/>
      <w:tcPr>
        <w:shd w:val="clear" w:color="auto" w:fill="FFE512" w:themeFill="accent5"/>
      </w:tcPr>
    </w:tblStylePr>
    <w:tblStylePr w:type="lastRow">
      <w:pPr>
        <w:spacing w:before="0" w:after="0" w:line="240" w:lineRule="auto"/>
      </w:pPr>
      <w:rPr>
        <w:b/>
        <w:bCs/>
      </w:rPr>
      <w:tblPr/>
      <w:tcPr>
        <w:tcBorders>
          <w:top w:val="double" w:sz="6" w:space="0" w:color="FFE512" w:themeColor="accent5"/>
          <w:left w:val="single" w:sz="8" w:space="0" w:color="FFE512" w:themeColor="accent5"/>
          <w:bottom w:val="single" w:sz="8" w:space="0" w:color="FFE512" w:themeColor="accent5"/>
          <w:right w:val="single" w:sz="8" w:space="0" w:color="FFE512" w:themeColor="accent5"/>
        </w:tcBorders>
      </w:tcPr>
    </w:tblStylePr>
    <w:tblStylePr w:type="firstCol">
      <w:rPr>
        <w:b/>
        <w:bCs/>
      </w:rPr>
    </w:tblStylePr>
    <w:tblStylePr w:type="lastCol">
      <w:rPr>
        <w:b/>
        <w:bCs/>
      </w:rPr>
    </w:tblStylePr>
    <w:tblStylePr w:type="band1Vert">
      <w:tblPr/>
      <w:tcPr>
        <w:tcBorders>
          <w:top w:val="single" w:sz="8" w:space="0" w:color="FFE512" w:themeColor="accent5"/>
          <w:left w:val="single" w:sz="8" w:space="0" w:color="FFE512" w:themeColor="accent5"/>
          <w:bottom w:val="single" w:sz="8" w:space="0" w:color="FFE512" w:themeColor="accent5"/>
          <w:right w:val="single" w:sz="8" w:space="0" w:color="FFE512" w:themeColor="accent5"/>
        </w:tcBorders>
      </w:tcPr>
    </w:tblStylePr>
    <w:tblStylePr w:type="band1Horz">
      <w:tblPr/>
      <w:tcPr>
        <w:tcBorders>
          <w:top w:val="single" w:sz="8" w:space="0" w:color="FFE512" w:themeColor="accent5"/>
          <w:left w:val="single" w:sz="8" w:space="0" w:color="FFE512" w:themeColor="accent5"/>
          <w:bottom w:val="single" w:sz="8" w:space="0" w:color="FFE512" w:themeColor="accent5"/>
          <w:right w:val="single" w:sz="8" w:space="0" w:color="FFE512" w:themeColor="accent5"/>
        </w:tcBorders>
      </w:tcPr>
    </w:tblStylePr>
  </w:style>
  <w:style w:type="table" w:styleId="LightList-Accent6">
    <w:name w:val="Light List Accent 6"/>
    <w:basedOn w:val="TableNormal"/>
    <w:uiPriority w:val="61"/>
    <w:semiHidden/>
    <w:unhideWhenUsed/>
    <w:rsid w:val="009E6ED7"/>
    <w:tblPr>
      <w:tblStyleRowBandSize w:val="1"/>
      <w:tblStyleColBandSize w:val="1"/>
      <w:tblBorders>
        <w:top w:val="single" w:sz="8" w:space="0" w:color="8C8279" w:themeColor="accent6"/>
        <w:left w:val="single" w:sz="8" w:space="0" w:color="8C8279" w:themeColor="accent6"/>
        <w:bottom w:val="single" w:sz="8" w:space="0" w:color="8C8279" w:themeColor="accent6"/>
        <w:right w:val="single" w:sz="8" w:space="0" w:color="8C8279" w:themeColor="accent6"/>
      </w:tblBorders>
    </w:tblPr>
    <w:tblStylePr w:type="firstRow">
      <w:pPr>
        <w:spacing w:before="0" w:after="0" w:line="240" w:lineRule="auto"/>
      </w:pPr>
      <w:rPr>
        <w:b/>
        <w:bCs/>
        <w:color w:val="FFFFFF" w:themeColor="background1"/>
      </w:rPr>
      <w:tblPr/>
      <w:tcPr>
        <w:shd w:val="clear" w:color="auto" w:fill="8C8279" w:themeFill="accent6"/>
      </w:tcPr>
    </w:tblStylePr>
    <w:tblStylePr w:type="lastRow">
      <w:pPr>
        <w:spacing w:before="0" w:after="0" w:line="240" w:lineRule="auto"/>
      </w:pPr>
      <w:rPr>
        <w:b/>
        <w:bCs/>
      </w:rPr>
      <w:tblPr/>
      <w:tcPr>
        <w:tcBorders>
          <w:top w:val="double" w:sz="6" w:space="0" w:color="8C8279" w:themeColor="accent6"/>
          <w:left w:val="single" w:sz="8" w:space="0" w:color="8C8279" w:themeColor="accent6"/>
          <w:bottom w:val="single" w:sz="8" w:space="0" w:color="8C8279" w:themeColor="accent6"/>
          <w:right w:val="single" w:sz="8" w:space="0" w:color="8C8279" w:themeColor="accent6"/>
        </w:tcBorders>
      </w:tcPr>
    </w:tblStylePr>
    <w:tblStylePr w:type="firstCol">
      <w:rPr>
        <w:b/>
        <w:bCs/>
      </w:rPr>
    </w:tblStylePr>
    <w:tblStylePr w:type="lastCol">
      <w:rPr>
        <w:b/>
        <w:bCs/>
      </w:rPr>
    </w:tblStylePr>
    <w:tblStylePr w:type="band1Vert">
      <w:tblPr/>
      <w:tcPr>
        <w:tcBorders>
          <w:top w:val="single" w:sz="8" w:space="0" w:color="8C8279" w:themeColor="accent6"/>
          <w:left w:val="single" w:sz="8" w:space="0" w:color="8C8279" w:themeColor="accent6"/>
          <w:bottom w:val="single" w:sz="8" w:space="0" w:color="8C8279" w:themeColor="accent6"/>
          <w:right w:val="single" w:sz="8" w:space="0" w:color="8C8279" w:themeColor="accent6"/>
        </w:tcBorders>
      </w:tcPr>
    </w:tblStylePr>
    <w:tblStylePr w:type="band1Horz">
      <w:tblPr/>
      <w:tcPr>
        <w:tcBorders>
          <w:top w:val="single" w:sz="8" w:space="0" w:color="8C8279" w:themeColor="accent6"/>
          <w:left w:val="single" w:sz="8" w:space="0" w:color="8C8279" w:themeColor="accent6"/>
          <w:bottom w:val="single" w:sz="8" w:space="0" w:color="8C8279" w:themeColor="accent6"/>
          <w:right w:val="single" w:sz="8" w:space="0" w:color="8C8279" w:themeColor="accent6"/>
        </w:tcBorders>
      </w:tcPr>
    </w:tblStylePr>
  </w:style>
  <w:style w:type="table" w:styleId="LightShading">
    <w:name w:val="Light Shading"/>
    <w:basedOn w:val="TableNormal"/>
    <w:uiPriority w:val="60"/>
    <w:semiHidden/>
    <w:unhideWhenUsed/>
    <w:rsid w:val="009E6ED7"/>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9E6ED7"/>
    <w:rPr>
      <w:color w:val="0087A9" w:themeColor="accent1" w:themeShade="BF"/>
    </w:rPr>
    <w:tblPr>
      <w:tblStyleRowBandSize w:val="1"/>
      <w:tblStyleColBandSize w:val="1"/>
      <w:tblBorders>
        <w:top w:val="single" w:sz="8" w:space="0" w:color="00B5E2" w:themeColor="accent1"/>
        <w:bottom w:val="single" w:sz="8" w:space="0" w:color="00B5E2" w:themeColor="accent1"/>
      </w:tblBorders>
    </w:tblPr>
    <w:tblStylePr w:type="firstRow">
      <w:pPr>
        <w:spacing w:before="0" w:after="0" w:line="240" w:lineRule="auto"/>
      </w:pPr>
      <w:rPr>
        <w:b/>
        <w:bCs/>
      </w:rPr>
      <w:tblPr/>
      <w:tcPr>
        <w:tcBorders>
          <w:top w:val="single" w:sz="8" w:space="0" w:color="00B5E2" w:themeColor="accent1"/>
          <w:left w:val="nil"/>
          <w:bottom w:val="single" w:sz="8" w:space="0" w:color="00B5E2" w:themeColor="accent1"/>
          <w:right w:val="nil"/>
          <w:insideH w:val="nil"/>
          <w:insideV w:val="nil"/>
        </w:tcBorders>
      </w:tcPr>
    </w:tblStylePr>
    <w:tblStylePr w:type="lastRow">
      <w:pPr>
        <w:spacing w:before="0" w:after="0" w:line="240" w:lineRule="auto"/>
      </w:pPr>
      <w:rPr>
        <w:b/>
        <w:bCs/>
      </w:rPr>
      <w:tblPr/>
      <w:tcPr>
        <w:tcBorders>
          <w:top w:val="single" w:sz="8" w:space="0" w:color="00B5E2" w:themeColor="accent1"/>
          <w:left w:val="nil"/>
          <w:bottom w:val="single" w:sz="8" w:space="0" w:color="00B5E2"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8F0FF" w:themeFill="accent1" w:themeFillTint="3F"/>
      </w:tcPr>
    </w:tblStylePr>
    <w:tblStylePr w:type="band1Horz">
      <w:tblPr/>
      <w:tcPr>
        <w:tcBorders>
          <w:left w:val="nil"/>
          <w:right w:val="nil"/>
          <w:insideH w:val="nil"/>
          <w:insideV w:val="nil"/>
        </w:tcBorders>
        <w:shd w:val="clear" w:color="auto" w:fill="B8F0FF" w:themeFill="accent1" w:themeFillTint="3F"/>
      </w:tcPr>
    </w:tblStylePr>
  </w:style>
  <w:style w:type="table" w:styleId="LightShading-Accent2">
    <w:name w:val="Light Shading Accent 2"/>
    <w:basedOn w:val="TableNormal"/>
    <w:uiPriority w:val="60"/>
    <w:semiHidden/>
    <w:unhideWhenUsed/>
    <w:rsid w:val="009E6ED7"/>
    <w:rPr>
      <w:color w:val="628D00" w:themeColor="accent2" w:themeShade="BF"/>
    </w:rPr>
    <w:tblPr>
      <w:tblStyleRowBandSize w:val="1"/>
      <w:tblStyleColBandSize w:val="1"/>
      <w:tblBorders>
        <w:top w:val="single" w:sz="8" w:space="0" w:color="84BD00" w:themeColor="accent2"/>
        <w:bottom w:val="single" w:sz="8" w:space="0" w:color="84BD00" w:themeColor="accent2"/>
      </w:tblBorders>
    </w:tblPr>
    <w:tblStylePr w:type="firstRow">
      <w:pPr>
        <w:spacing w:before="0" w:after="0" w:line="240" w:lineRule="auto"/>
      </w:pPr>
      <w:rPr>
        <w:b/>
        <w:bCs/>
      </w:rPr>
      <w:tblPr/>
      <w:tcPr>
        <w:tcBorders>
          <w:top w:val="single" w:sz="8" w:space="0" w:color="84BD00" w:themeColor="accent2"/>
          <w:left w:val="nil"/>
          <w:bottom w:val="single" w:sz="8" w:space="0" w:color="84BD00" w:themeColor="accent2"/>
          <w:right w:val="nil"/>
          <w:insideH w:val="nil"/>
          <w:insideV w:val="nil"/>
        </w:tcBorders>
      </w:tcPr>
    </w:tblStylePr>
    <w:tblStylePr w:type="lastRow">
      <w:pPr>
        <w:spacing w:before="0" w:after="0" w:line="240" w:lineRule="auto"/>
      </w:pPr>
      <w:rPr>
        <w:b/>
        <w:bCs/>
      </w:rPr>
      <w:tblPr/>
      <w:tcPr>
        <w:tcBorders>
          <w:top w:val="single" w:sz="8" w:space="0" w:color="84BD00" w:themeColor="accent2"/>
          <w:left w:val="nil"/>
          <w:bottom w:val="single" w:sz="8" w:space="0" w:color="84BD0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7FFAF" w:themeFill="accent2" w:themeFillTint="3F"/>
      </w:tcPr>
    </w:tblStylePr>
    <w:tblStylePr w:type="band1Horz">
      <w:tblPr/>
      <w:tcPr>
        <w:tcBorders>
          <w:left w:val="nil"/>
          <w:right w:val="nil"/>
          <w:insideH w:val="nil"/>
          <w:insideV w:val="nil"/>
        </w:tcBorders>
        <w:shd w:val="clear" w:color="auto" w:fill="E7FFAF" w:themeFill="accent2" w:themeFillTint="3F"/>
      </w:tcPr>
    </w:tblStylePr>
  </w:style>
  <w:style w:type="table" w:styleId="LightShading-Accent3">
    <w:name w:val="Light Shading Accent 3"/>
    <w:basedOn w:val="TableNormal"/>
    <w:uiPriority w:val="60"/>
    <w:semiHidden/>
    <w:unhideWhenUsed/>
    <w:rsid w:val="009E6ED7"/>
    <w:rPr>
      <w:color w:val="C76808" w:themeColor="accent3" w:themeShade="BF"/>
    </w:rPr>
    <w:tblPr>
      <w:tblStyleRowBandSize w:val="1"/>
      <w:tblStyleColBandSize w:val="1"/>
      <w:tblBorders>
        <w:top w:val="single" w:sz="8" w:space="0" w:color="F68B1F" w:themeColor="accent3"/>
        <w:bottom w:val="single" w:sz="8" w:space="0" w:color="F68B1F" w:themeColor="accent3"/>
      </w:tblBorders>
    </w:tblPr>
    <w:tblStylePr w:type="firstRow">
      <w:pPr>
        <w:spacing w:before="0" w:after="0" w:line="240" w:lineRule="auto"/>
      </w:pPr>
      <w:rPr>
        <w:b/>
        <w:bCs/>
      </w:rPr>
      <w:tblPr/>
      <w:tcPr>
        <w:tcBorders>
          <w:top w:val="single" w:sz="8" w:space="0" w:color="F68B1F" w:themeColor="accent3"/>
          <w:left w:val="nil"/>
          <w:bottom w:val="single" w:sz="8" w:space="0" w:color="F68B1F" w:themeColor="accent3"/>
          <w:right w:val="nil"/>
          <w:insideH w:val="nil"/>
          <w:insideV w:val="nil"/>
        </w:tcBorders>
      </w:tcPr>
    </w:tblStylePr>
    <w:tblStylePr w:type="lastRow">
      <w:pPr>
        <w:spacing w:before="0" w:after="0" w:line="240" w:lineRule="auto"/>
      </w:pPr>
      <w:rPr>
        <w:b/>
        <w:bCs/>
      </w:rPr>
      <w:tblPr/>
      <w:tcPr>
        <w:tcBorders>
          <w:top w:val="single" w:sz="8" w:space="0" w:color="F68B1F" w:themeColor="accent3"/>
          <w:left w:val="nil"/>
          <w:bottom w:val="single" w:sz="8" w:space="0" w:color="F68B1F"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CE2C7" w:themeFill="accent3" w:themeFillTint="3F"/>
      </w:tcPr>
    </w:tblStylePr>
    <w:tblStylePr w:type="band1Horz">
      <w:tblPr/>
      <w:tcPr>
        <w:tcBorders>
          <w:left w:val="nil"/>
          <w:right w:val="nil"/>
          <w:insideH w:val="nil"/>
          <w:insideV w:val="nil"/>
        </w:tcBorders>
        <w:shd w:val="clear" w:color="auto" w:fill="FCE2C7" w:themeFill="accent3" w:themeFillTint="3F"/>
      </w:tcPr>
    </w:tblStylePr>
  </w:style>
  <w:style w:type="table" w:styleId="LightShading-Accent4">
    <w:name w:val="Light Shading Accent 4"/>
    <w:basedOn w:val="TableNormal"/>
    <w:uiPriority w:val="60"/>
    <w:semiHidden/>
    <w:unhideWhenUsed/>
    <w:rsid w:val="009E6ED7"/>
    <w:rPr>
      <w:color w:val="76005E" w:themeColor="accent4" w:themeShade="BF"/>
    </w:rPr>
    <w:tblPr>
      <w:tblStyleRowBandSize w:val="1"/>
      <w:tblStyleColBandSize w:val="1"/>
      <w:tblBorders>
        <w:top w:val="single" w:sz="8" w:space="0" w:color="9E007E" w:themeColor="accent4"/>
        <w:bottom w:val="single" w:sz="8" w:space="0" w:color="9E007E" w:themeColor="accent4"/>
      </w:tblBorders>
    </w:tblPr>
    <w:tblStylePr w:type="firstRow">
      <w:pPr>
        <w:spacing w:before="0" w:after="0" w:line="240" w:lineRule="auto"/>
      </w:pPr>
      <w:rPr>
        <w:b/>
        <w:bCs/>
      </w:rPr>
      <w:tblPr/>
      <w:tcPr>
        <w:tcBorders>
          <w:top w:val="single" w:sz="8" w:space="0" w:color="9E007E" w:themeColor="accent4"/>
          <w:left w:val="nil"/>
          <w:bottom w:val="single" w:sz="8" w:space="0" w:color="9E007E" w:themeColor="accent4"/>
          <w:right w:val="nil"/>
          <w:insideH w:val="nil"/>
          <w:insideV w:val="nil"/>
        </w:tcBorders>
      </w:tcPr>
    </w:tblStylePr>
    <w:tblStylePr w:type="lastRow">
      <w:pPr>
        <w:spacing w:before="0" w:after="0" w:line="240" w:lineRule="auto"/>
      </w:pPr>
      <w:rPr>
        <w:b/>
        <w:bCs/>
      </w:rPr>
      <w:tblPr/>
      <w:tcPr>
        <w:tcBorders>
          <w:top w:val="single" w:sz="8" w:space="0" w:color="9E007E" w:themeColor="accent4"/>
          <w:left w:val="nil"/>
          <w:bottom w:val="single" w:sz="8" w:space="0" w:color="9E007E"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A8ED" w:themeFill="accent4" w:themeFillTint="3F"/>
      </w:tcPr>
    </w:tblStylePr>
    <w:tblStylePr w:type="band1Horz">
      <w:tblPr/>
      <w:tcPr>
        <w:tcBorders>
          <w:left w:val="nil"/>
          <w:right w:val="nil"/>
          <w:insideH w:val="nil"/>
          <w:insideV w:val="nil"/>
        </w:tcBorders>
        <w:shd w:val="clear" w:color="auto" w:fill="FFA8ED" w:themeFill="accent4" w:themeFillTint="3F"/>
      </w:tcPr>
    </w:tblStylePr>
  </w:style>
  <w:style w:type="table" w:styleId="LightShading-Accent5">
    <w:name w:val="Light Shading Accent 5"/>
    <w:basedOn w:val="TableNormal"/>
    <w:uiPriority w:val="60"/>
    <w:semiHidden/>
    <w:unhideWhenUsed/>
    <w:rsid w:val="009E6ED7"/>
    <w:rPr>
      <w:color w:val="CCB500" w:themeColor="accent5" w:themeShade="BF"/>
    </w:rPr>
    <w:tblPr>
      <w:tblStyleRowBandSize w:val="1"/>
      <w:tblStyleColBandSize w:val="1"/>
      <w:tblBorders>
        <w:top w:val="single" w:sz="8" w:space="0" w:color="FFE512" w:themeColor="accent5"/>
        <w:bottom w:val="single" w:sz="8" w:space="0" w:color="FFE512" w:themeColor="accent5"/>
      </w:tblBorders>
    </w:tblPr>
    <w:tblStylePr w:type="firstRow">
      <w:pPr>
        <w:spacing w:before="0" w:after="0" w:line="240" w:lineRule="auto"/>
      </w:pPr>
      <w:rPr>
        <w:b/>
        <w:bCs/>
      </w:rPr>
      <w:tblPr/>
      <w:tcPr>
        <w:tcBorders>
          <w:top w:val="single" w:sz="8" w:space="0" w:color="FFE512" w:themeColor="accent5"/>
          <w:left w:val="nil"/>
          <w:bottom w:val="single" w:sz="8" w:space="0" w:color="FFE512" w:themeColor="accent5"/>
          <w:right w:val="nil"/>
          <w:insideH w:val="nil"/>
          <w:insideV w:val="nil"/>
        </w:tcBorders>
      </w:tcPr>
    </w:tblStylePr>
    <w:tblStylePr w:type="lastRow">
      <w:pPr>
        <w:spacing w:before="0" w:after="0" w:line="240" w:lineRule="auto"/>
      </w:pPr>
      <w:rPr>
        <w:b/>
        <w:bCs/>
      </w:rPr>
      <w:tblPr/>
      <w:tcPr>
        <w:tcBorders>
          <w:top w:val="single" w:sz="8" w:space="0" w:color="FFE512" w:themeColor="accent5"/>
          <w:left w:val="nil"/>
          <w:bottom w:val="single" w:sz="8" w:space="0" w:color="FFE512"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F8C4" w:themeFill="accent5" w:themeFillTint="3F"/>
      </w:tcPr>
    </w:tblStylePr>
    <w:tblStylePr w:type="band1Horz">
      <w:tblPr/>
      <w:tcPr>
        <w:tcBorders>
          <w:left w:val="nil"/>
          <w:right w:val="nil"/>
          <w:insideH w:val="nil"/>
          <w:insideV w:val="nil"/>
        </w:tcBorders>
        <w:shd w:val="clear" w:color="auto" w:fill="FFF8C4" w:themeFill="accent5" w:themeFillTint="3F"/>
      </w:tcPr>
    </w:tblStylePr>
  </w:style>
  <w:style w:type="table" w:styleId="LightShading-Accent6">
    <w:name w:val="Light Shading Accent 6"/>
    <w:basedOn w:val="TableNormal"/>
    <w:uiPriority w:val="60"/>
    <w:semiHidden/>
    <w:unhideWhenUsed/>
    <w:rsid w:val="009E6ED7"/>
    <w:rPr>
      <w:color w:val="69615A" w:themeColor="accent6" w:themeShade="BF"/>
    </w:rPr>
    <w:tblPr>
      <w:tblStyleRowBandSize w:val="1"/>
      <w:tblStyleColBandSize w:val="1"/>
      <w:tblBorders>
        <w:top w:val="single" w:sz="8" w:space="0" w:color="8C8279" w:themeColor="accent6"/>
        <w:bottom w:val="single" w:sz="8" w:space="0" w:color="8C8279" w:themeColor="accent6"/>
      </w:tblBorders>
    </w:tblPr>
    <w:tblStylePr w:type="firstRow">
      <w:pPr>
        <w:spacing w:before="0" w:after="0" w:line="240" w:lineRule="auto"/>
      </w:pPr>
      <w:rPr>
        <w:b/>
        <w:bCs/>
      </w:rPr>
      <w:tblPr/>
      <w:tcPr>
        <w:tcBorders>
          <w:top w:val="single" w:sz="8" w:space="0" w:color="8C8279" w:themeColor="accent6"/>
          <w:left w:val="nil"/>
          <w:bottom w:val="single" w:sz="8" w:space="0" w:color="8C8279" w:themeColor="accent6"/>
          <w:right w:val="nil"/>
          <w:insideH w:val="nil"/>
          <w:insideV w:val="nil"/>
        </w:tcBorders>
      </w:tcPr>
    </w:tblStylePr>
    <w:tblStylePr w:type="lastRow">
      <w:pPr>
        <w:spacing w:before="0" w:after="0" w:line="240" w:lineRule="auto"/>
      </w:pPr>
      <w:rPr>
        <w:b/>
        <w:bCs/>
      </w:rPr>
      <w:tblPr/>
      <w:tcPr>
        <w:tcBorders>
          <w:top w:val="single" w:sz="8" w:space="0" w:color="8C8279" w:themeColor="accent6"/>
          <w:left w:val="nil"/>
          <w:bottom w:val="single" w:sz="8" w:space="0" w:color="8C8279"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0DD" w:themeFill="accent6" w:themeFillTint="3F"/>
      </w:tcPr>
    </w:tblStylePr>
    <w:tblStylePr w:type="band1Horz">
      <w:tblPr/>
      <w:tcPr>
        <w:tcBorders>
          <w:left w:val="nil"/>
          <w:right w:val="nil"/>
          <w:insideH w:val="nil"/>
          <w:insideV w:val="nil"/>
        </w:tcBorders>
        <w:shd w:val="clear" w:color="auto" w:fill="E2E0DD" w:themeFill="accent6" w:themeFillTint="3F"/>
      </w:tcPr>
    </w:tblStylePr>
  </w:style>
  <w:style w:type="table" w:styleId="MediumGrid1">
    <w:name w:val="Medium Grid 1"/>
    <w:basedOn w:val="TableNormal"/>
    <w:uiPriority w:val="67"/>
    <w:semiHidden/>
    <w:unhideWhenUsed/>
    <w:rsid w:val="009E6ED7"/>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9E6ED7"/>
    <w:tblPr>
      <w:tblStyleRowBandSize w:val="1"/>
      <w:tblStyleColBandSize w:val="1"/>
      <w:tblBorders>
        <w:top w:val="single" w:sz="8" w:space="0" w:color="2AD4FF" w:themeColor="accent1" w:themeTint="BF"/>
        <w:left w:val="single" w:sz="8" w:space="0" w:color="2AD4FF" w:themeColor="accent1" w:themeTint="BF"/>
        <w:bottom w:val="single" w:sz="8" w:space="0" w:color="2AD4FF" w:themeColor="accent1" w:themeTint="BF"/>
        <w:right w:val="single" w:sz="8" w:space="0" w:color="2AD4FF" w:themeColor="accent1" w:themeTint="BF"/>
        <w:insideH w:val="single" w:sz="8" w:space="0" w:color="2AD4FF" w:themeColor="accent1" w:themeTint="BF"/>
        <w:insideV w:val="single" w:sz="8" w:space="0" w:color="2AD4FF" w:themeColor="accent1" w:themeTint="BF"/>
      </w:tblBorders>
    </w:tblPr>
    <w:tcPr>
      <w:shd w:val="clear" w:color="auto" w:fill="B8F0FF" w:themeFill="accent1" w:themeFillTint="3F"/>
    </w:tcPr>
    <w:tblStylePr w:type="firstRow">
      <w:rPr>
        <w:b/>
        <w:bCs/>
      </w:rPr>
    </w:tblStylePr>
    <w:tblStylePr w:type="lastRow">
      <w:rPr>
        <w:b/>
        <w:bCs/>
      </w:rPr>
      <w:tblPr/>
      <w:tcPr>
        <w:tcBorders>
          <w:top w:val="single" w:sz="18" w:space="0" w:color="2AD4FF" w:themeColor="accent1" w:themeTint="BF"/>
        </w:tcBorders>
      </w:tcPr>
    </w:tblStylePr>
    <w:tblStylePr w:type="firstCol">
      <w:rPr>
        <w:b/>
        <w:bCs/>
      </w:rPr>
    </w:tblStylePr>
    <w:tblStylePr w:type="lastCol">
      <w:rPr>
        <w:b/>
        <w:bCs/>
      </w:rPr>
    </w:tblStylePr>
    <w:tblStylePr w:type="band1Vert">
      <w:tblPr/>
      <w:tcPr>
        <w:shd w:val="clear" w:color="auto" w:fill="71E2FF" w:themeFill="accent1" w:themeFillTint="7F"/>
      </w:tcPr>
    </w:tblStylePr>
    <w:tblStylePr w:type="band1Horz">
      <w:tblPr/>
      <w:tcPr>
        <w:shd w:val="clear" w:color="auto" w:fill="71E2FF" w:themeFill="accent1" w:themeFillTint="7F"/>
      </w:tcPr>
    </w:tblStylePr>
  </w:style>
  <w:style w:type="table" w:styleId="MediumGrid1-Accent2">
    <w:name w:val="Medium Grid 1 Accent 2"/>
    <w:basedOn w:val="TableNormal"/>
    <w:uiPriority w:val="67"/>
    <w:semiHidden/>
    <w:unhideWhenUsed/>
    <w:rsid w:val="009E6ED7"/>
    <w:tblPr>
      <w:tblStyleRowBandSize w:val="1"/>
      <w:tblStyleColBandSize w:val="1"/>
      <w:tblBorders>
        <w:top w:val="single" w:sz="8" w:space="0" w:color="B6FF0E" w:themeColor="accent2" w:themeTint="BF"/>
        <w:left w:val="single" w:sz="8" w:space="0" w:color="B6FF0E" w:themeColor="accent2" w:themeTint="BF"/>
        <w:bottom w:val="single" w:sz="8" w:space="0" w:color="B6FF0E" w:themeColor="accent2" w:themeTint="BF"/>
        <w:right w:val="single" w:sz="8" w:space="0" w:color="B6FF0E" w:themeColor="accent2" w:themeTint="BF"/>
        <w:insideH w:val="single" w:sz="8" w:space="0" w:color="B6FF0E" w:themeColor="accent2" w:themeTint="BF"/>
        <w:insideV w:val="single" w:sz="8" w:space="0" w:color="B6FF0E" w:themeColor="accent2" w:themeTint="BF"/>
      </w:tblBorders>
    </w:tblPr>
    <w:tcPr>
      <w:shd w:val="clear" w:color="auto" w:fill="E7FFAF" w:themeFill="accent2" w:themeFillTint="3F"/>
    </w:tcPr>
    <w:tblStylePr w:type="firstRow">
      <w:rPr>
        <w:b/>
        <w:bCs/>
      </w:rPr>
    </w:tblStylePr>
    <w:tblStylePr w:type="lastRow">
      <w:rPr>
        <w:b/>
        <w:bCs/>
      </w:rPr>
      <w:tblPr/>
      <w:tcPr>
        <w:tcBorders>
          <w:top w:val="single" w:sz="18" w:space="0" w:color="B6FF0E" w:themeColor="accent2" w:themeTint="BF"/>
        </w:tcBorders>
      </w:tcPr>
    </w:tblStylePr>
    <w:tblStylePr w:type="firstCol">
      <w:rPr>
        <w:b/>
        <w:bCs/>
      </w:rPr>
    </w:tblStylePr>
    <w:tblStylePr w:type="lastCol">
      <w:rPr>
        <w:b/>
        <w:bCs/>
      </w:rPr>
    </w:tblStylePr>
    <w:tblStylePr w:type="band1Vert">
      <w:tblPr/>
      <w:tcPr>
        <w:shd w:val="clear" w:color="auto" w:fill="CEFF5F" w:themeFill="accent2" w:themeFillTint="7F"/>
      </w:tcPr>
    </w:tblStylePr>
    <w:tblStylePr w:type="band1Horz">
      <w:tblPr/>
      <w:tcPr>
        <w:shd w:val="clear" w:color="auto" w:fill="CEFF5F" w:themeFill="accent2" w:themeFillTint="7F"/>
      </w:tcPr>
    </w:tblStylePr>
  </w:style>
  <w:style w:type="table" w:styleId="MediumGrid1-Accent3">
    <w:name w:val="Medium Grid 1 Accent 3"/>
    <w:basedOn w:val="TableNormal"/>
    <w:uiPriority w:val="67"/>
    <w:semiHidden/>
    <w:unhideWhenUsed/>
    <w:rsid w:val="009E6ED7"/>
    <w:tblPr>
      <w:tblStyleRowBandSize w:val="1"/>
      <w:tblStyleColBandSize w:val="1"/>
      <w:tblBorders>
        <w:top w:val="single" w:sz="8" w:space="0" w:color="F8A757" w:themeColor="accent3" w:themeTint="BF"/>
        <w:left w:val="single" w:sz="8" w:space="0" w:color="F8A757" w:themeColor="accent3" w:themeTint="BF"/>
        <w:bottom w:val="single" w:sz="8" w:space="0" w:color="F8A757" w:themeColor="accent3" w:themeTint="BF"/>
        <w:right w:val="single" w:sz="8" w:space="0" w:color="F8A757" w:themeColor="accent3" w:themeTint="BF"/>
        <w:insideH w:val="single" w:sz="8" w:space="0" w:color="F8A757" w:themeColor="accent3" w:themeTint="BF"/>
        <w:insideV w:val="single" w:sz="8" w:space="0" w:color="F8A757" w:themeColor="accent3" w:themeTint="BF"/>
      </w:tblBorders>
    </w:tblPr>
    <w:tcPr>
      <w:shd w:val="clear" w:color="auto" w:fill="FCE2C7" w:themeFill="accent3" w:themeFillTint="3F"/>
    </w:tcPr>
    <w:tblStylePr w:type="firstRow">
      <w:rPr>
        <w:b/>
        <w:bCs/>
      </w:rPr>
    </w:tblStylePr>
    <w:tblStylePr w:type="lastRow">
      <w:rPr>
        <w:b/>
        <w:bCs/>
      </w:rPr>
      <w:tblPr/>
      <w:tcPr>
        <w:tcBorders>
          <w:top w:val="single" w:sz="18" w:space="0" w:color="F8A757" w:themeColor="accent3" w:themeTint="BF"/>
        </w:tcBorders>
      </w:tcPr>
    </w:tblStylePr>
    <w:tblStylePr w:type="firstCol">
      <w:rPr>
        <w:b/>
        <w:bCs/>
      </w:rPr>
    </w:tblStylePr>
    <w:tblStylePr w:type="lastCol">
      <w:rPr>
        <w:b/>
        <w:bCs/>
      </w:rPr>
    </w:tblStylePr>
    <w:tblStylePr w:type="band1Vert">
      <w:tblPr/>
      <w:tcPr>
        <w:shd w:val="clear" w:color="auto" w:fill="FAC58F" w:themeFill="accent3" w:themeFillTint="7F"/>
      </w:tcPr>
    </w:tblStylePr>
    <w:tblStylePr w:type="band1Horz">
      <w:tblPr/>
      <w:tcPr>
        <w:shd w:val="clear" w:color="auto" w:fill="FAC58F" w:themeFill="accent3" w:themeFillTint="7F"/>
      </w:tcPr>
    </w:tblStylePr>
  </w:style>
  <w:style w:type="table" w:styleId="MediumGrid1-Accent4">
    <w:name w:val="Medium Grid 1 Accent 4"/>
    <w:basedOn w:val="TableNormal"/>
    <w:uiPriority w:val="67"/>
    <w:semiHidden/>
    <w:unhideWhenUsed/>
    <w:rsid w:val="009E6ED7"/>
    <w:tblPr>
      <w:tblStyleRowBandSize w:val="1"/>
      <w:tblStyleColBandSize w:val="1"/>
      <w:tblBorders>
        <w:top w:val="single" w:sz="8" w:space="0" w:color="F600C4" w:themeColor="accent4" w:themeTint="BF"/>
        <w:left w:val="single" w:sz="8" w:space="0" w:color="F600C4" w:themeColor="accent4" w:themeTint="BF"/>
        <w:bottom w:val="single" w:sz="8" w:space="0" w:color="F600C4" w:themeColor="accent4" w:themeTint="BF"/>
        <w:right w:val="single" w:sz="8" w:space="0" w:color="F600C4" w:themeColor="accent4" w:themeTint="BF"/>
        <w:insideH w:val="single" w:sz="8" w:space="0" w:color="F600C4" w:themeColor="accent4" w:themeTint="BF"/>
        <w:insideV w:val="single" w:sz="8" w:space="0" w:color="F600C4" w:themeColor="accent4" w:themeTint="BF"/>
      </w:tblBorders>
    </w:tblPr>
    <w:tcPr>
      <w:shd w:val="clear" w:color="auto" w:fill="FFA8ED" w:themeFill="accent4" w:themeFillTint="3F"/>
    </w:tcPr>
    <w:tblStylePr w:type="firstRow">
      <w:rPr>
        <w:b/>
        <w:bCs/>
      </w:rPr>
    </w:tblStylePr>
    <w:tblStylePr w:type="lastRow">
      <w:rPr>
        <w:b/>
        <w:bCs/>
      </w:rPr>
      <w:tblPr/>
      <w:tcPr>
        <w:tcBorders>
          <w:top w:val="single" w:sz="18" w:space="0" w:color="F600C4" w:themeColor="accent4" w:themeTint="BF"/>
        </w:tcBorders>
      </w:tcPr>
    </w:tblStylePr>
    <w:tblStylePr w:type="firstCol">
      <w:rPr>
        <w:b/>
        <w:bCs/>
      </w:rPr>
    </w:tblStylePr>
    <w:tblStylePr w:type="lastCol">
      <w:rPr>
        <w:b/>
        <w:bCs/>
      </w:rPr>
    </w:tblStylePr>
    <w:tblStylePr w:type="band1Vert">
      <w:tblPr/>
      <w:tcPr>
        <w:shd w:val="clear" w:color="auto" w:fill="FF4FDB" w:themeFill="accent4" w:themeFillTint="7F"/>
      </w:tcPr>
    </w:tblStylePr>
    <w:tblStylePr w:type="band1Horz">
      <w:tblPr/>
      <w:tcPr>
        <w:shd w:val="clear" w:color="auto" w:fill="FF4FDB" w:themeFill="accent4" w:themeFillTint="7F"/>
      </w:tcPr>
    </w:tblStylePr>
  </w:style>
  <w:style w:type="table" w:styleId="MediumGrid1-Accent5">
    <w:name w:val="Medium Grid 1 Accent 5"/>
    <w:basedOn w:val="TableNormal"/>
    <w:uiPriority w:val="67"/>
    <w:semiHidden/>
    <w:unhideWhenUsed/>
    <w:rsid w:val="009E6ED7"/>
    <w:tblPr>
      <w:tblStyleRowBandSize w:val="1"/>
      <w:tblStyleColBandSize w:val="1"/>
      <w:tblBorders>
        <w:top w:val="single" w:sz="8" w:space="0" w:color="FFEB4D" w:themeColor="accent5" w:themeTint="BF"/>
        <w:left w:val="single" w:sz="8" w:space="0" w:color="FFEB4D" w:themeColor="accent5" w:themeTint="BF"/>
        <w:bottom w:val="single" w:sz="8" w:space="0" w:color="FFEB4D" w:themeColor="accent5" w:themeTint="BF"/>
        <w:right w:val="single" w:sz="8" w:space="0" w:color="FFEB4D" w:themeColor="accent5" w:themeTint="BF"/>
        <w:insideH w:val="single" w:sz="8" w:space="0" w:color="FFEB4D" w:themeColor="accent5" w:themeTint="BF"/>
        <w:insideV w:val="single" w:sz="8" w:space="0" w:color="FFEB4D" w:themeColor="accent5" w:themeTint="BF"/>
      </w:tblBorders>
    </w:tblPr>
    <w:tcPr>
      <w:shd w:val="clear" w:color="auto" w:fill="FFF8C4" w:themeFill="accent5" w:themeFillTint="3F"/>
    </w:tcPr>
    <w:tblStylePr w:type="firstRow">
      <w:rPr>
        <w:b/>
        <w:bCs/>
      </w:rPr>
    </w:tblStylePr>
    <w:tblStylePr w:type="lastRow">
      <w:rPr>
        <w:b/>
        <w:bCs/>
      </w:rPr>
      <w:tblPr/>
      <w:tcPr>
        <w:tcBorders>
          <w:top w:val="single" w:sz="18" w:space="0" w:color="FFEB4D" w:themeColor="accent5" w:themeTint="BF"/>
        </w:tcBorders>
      </w:tcPr>
    </w:tblStylePr>
    <w:tblStylePr w:type="firstCol">
      <w:rPr>
        <w:b/>
        <w:bCs/>
      </w:rPr>
    </w:tblStylePr>
    <w:tblStylePr w:type="lastCol">
      <w:rPr>
        <w:b/>
        <w:bCs/>
      </w:rPr>
    </w:tblStylePr>
    <w:tblStylePr w:type="band1Vert">
      <w:tblPr/>
      <w:tcPr>
        <w:shd w:val="clear" w:color="auto" w:fill="FFF288" w:themeFill="accent5" w:themeFillTint="7F"/>
      </w:tcPr>
    </w:tblStylePr>
    <w:tblStylePr w:type="band1Horz">
      <w:tblPr/>
      <w:tcPr>
        <w:shd w:val="clear" w:color="auto" w:fill="FFF288" w:themeFill="accent5" w:themeFillTint="7F"/>
      </w:tcPr>
    </w:tblStylePr>
  </w:style>
  <w:style w:type="table" w:styleId="MediumGrid1-Accent6">
    <w:name w:val="Medium Grid 1 Accent 6"/>
    <w:basedOn w:val="TableNormal"/>
    <w:uiPriority w:val="67"/>
    <w:semiHidden/>
    <w:unhideWhenUsed/>
    <w:rsid w:val="009E6ED7"/>
    <w:tblPr>
      <w:tblStyleRowBandSize w:val="1"/>
      <w:tblStyleColBandSize w:val="1"/>
      <w:tblBorders>
        <w:top w:val="single" w:sz="8" w:space="0" w:color="A8A19A" w:themeColor="accent6" w:themeTint="BF"/>
        <w:left w:val="single" w:sz="8" w:space="0" w:color="A8A19A" w:themeColor="accent6" w:themeTint="BF"/>
        <w:bottom w:val="single" w:sz="8" w:space="0" w:color="A8A19A" w:themeColor="accent6" w:themeTint="BF"/>
        <w:right w:val="single" w:sz="8" w:space="0" w:color="A8A19A" w:themeColor="accent6" w:themeTint="BF"/>
        <w:insideH w:val="single" w:sz="8" w:space="0" w:color="A8A19A" w:themeColor="accent6" w:themeTint="BF"/>
        <w:insideV w:val="single" w:sz="8" w:space="0" w:color="A8A19A" w:themeColor="accent6" w:themeTint="BF"/>
      </w:tblBorders>
    </w:tblPr>
    <w:tcPr>
      <w:shd w:val="clear" w:color="auto" w:fill="E2E0DD" w:themeFill="accent6" w:themeFillTint="3F"/>
    </w:tcPr>
    <w:tblStylePr w:type="firstRow">
      <w:rPr>
        <w:b/>
        <w:bCs/>
      </w:rPr>
    </w:tblStylePr>
    <w:tblStylePr w:type="lastRow">
      <w:rPr>
        <w:b/>
        <w:bCs/>
      </w:rPr>
      <w:tblPr/>
      <w:tcPr>
        <w:tcBorders>
          <w:top w:val="single" w:sz="18" w:space="0" w:color="A8A19A" w:themeColor="accent6" w:themeTint="BF"/>
        </w:tcBorders>
      </w:tcPr>
    </w:tblStylePr>
    <w:tblStylePr w:type="firstCol">
      <w:rPr>
        <w:b/>
        <w:bCs/>
      </w:rPr>
    </w:tblStylePr>
    <w:tblStylePr w:type="lastCol">
      <w:rPr>
        <w:b/>
        <w:bCs/>
      </w:rPr>
    </w:tblStylePr>
    <w:tblStylePr w:type="band1Vert">
      <w:tblPr/>
      <w:tcPr>
        <w:shd w:val="clear" w:color="auto" w:fill="C5C0BC" w:themeFill="accent6" w:themeFillTint="7F"/>
      </w:tcPr>
    </w:tblStylePr>
    <w:tblStylePr w:type="band1Horz">
      <w:tblPr/>
      <w:tcPr>
        <w:shd w:val="clear" w:color="auto" w:fill="C5C0BC" w:themeFill="accent6" w:themeFillTint="7F"/>
      </w:tcPr>
    </w:tblStylePr>
  </w:style>
  <w:style w:type="table" w:styleId="MediumGrid2">
    <w:name w:val="Medium Grid 2"/>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B5E2" w:themeColor="accent1"/>
        <w:left w:val="single" w:sz="8" w:space="0" w:color="00B5E2" w:themeColor="accent1"/>
        <w:bottom w:val="single" w:sz="8" w:space="0" w:color="00B5E2" w:themeColor="accent1"/>
        <w:right w:val="single" w:sz="8" w:space="0" w:color="00B5E2" w:themeColor="accent1"/>
        <w:insideH w:val="single" w:sz="8" w:space="0" w:color="00B5E2" w:themeColor="accent1"/>
        <w:insideV w:val="single" w:sz="8" w:space="0" w:color="00B5E2" w:themeColor="accent1"/>
      </w:tblBorders>
    </w:tblPr>
    <w:tcPr>
      <w:shd w:val="clear" w:color="auto" w:fill="B8F0FF" w:themeFill="accent1" w:themeFillTint="3F"/>
    </w:tcPr>
    <w:tblStylePr w:type="firstRow">
      <w:rPr>
        <w:b/>
        <w:bCs/>
        <w:color w:val="000000" w:themeColor="text1"/>
      </w:rPr>
      <w:tblPr/>
      <w:tcPr>
        <w:shd w:val="clear" w:color="auto" w:fill="E3F9FF"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6F3FF" w:themeFill="accent1" w:themeFillTint="33"/>
      </w:tcPr>
    </w:tblStylePr>
    <w:tblStylePr w:type="band1Vert">
      <w:tblPr/>
      <w:tcPr>
        <w:shd w:val="clear" w:color="auto" w:fill="71E2FF" w:themeFill="accent1" w:themeFillTint="7F"/>
      </w:tcPr>
    </w:tblStylePr>
    <w:tblStylePr w:type="band1Horz">
      <w:tblPr/>
      <w:tcPr>
        <w:tcBorders>
          <w:insideH w:val="single" w:sz="6" w:space="0" w:color="00B5E2" w:themeColor="accent1"/>
          <w:insideV w:val="single" w:sz="6" w:space="0" w:color="00B5E2" w:themeColor="accent1"/>
        </w:tcBorders>
        <w:shd w:val="clear" w:color="auto" w:fill="71E2FF"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84BD00" w:themeColor="accent2"/>
        <w:left w:val="single" w:sz="8" w:space="0" w:color="84BD00" w:themeColor="accent2"/>
        <w:bottom w:val="single" w:sz="8" w:space="0" w:color="84BD00" w:themeColor="accent2"/>
        <w:right w:val="single" w:sz="8" w:space="0" w:color="84BD00" w:themeColor="accent2"/>
        <w:insideH w:val="single" w:sz="8" w:space="0" w:color="84BD00" w:themeColor="accent2"/>
        <w:insideV w:val="single" w:sz="8" w:space="0" w:color="84BD00" w:themeColor="accent2"/>
      </w:tblBorders>
    </w:tblPr>
    <w:tcPr>
      <w:shd w:val="clear" w:color="auto" w:fill="E7FFAF" w:themeFill="accent2" w:themeFillTint="3F"/>
    </w:tcPr>
    <w:tblStylePr w:type="firstRow">
      <w:rPr>
        <w:b/>
        <w:bCs/>
        <w:color w:val="000000" w:themeColor="text1"/>
      </w:rPr>
      <w:tblPr/>
      <w:tcPr>
        <w:shd w:val="clear" w:color="auto" w:fill="F5FFD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FFBE" w:themeFill="accent2" w:themeFillTint="33"/>
      </w:tcPr>
    </w:tblStylePr>
    <w:tblStylePr w:type="band1Vert">
      <w:tblPr/>
      <w:tcPr>
        <w:shd w:val="clear" w:color="auto" w:fill="CEFF5F" w:themeFill="accent2" w:themeFillTint="7F"/>
      </w:tcPr>
    </w:tblStylePr>
    <w:tblStylePr w:type="band1Horz">
      <w:tblPr/>
      <w:tcPr>
        <w:tcBorders>
          <w:insideH w:val="single" w:sz="6" w:space="0" w:color="84BD00" w:themeColor="accent2"/>
          <w:insideV w:val="single" w:sz="6" w:space="0" w:color="84BD00" w:themeColor="accent2"/>
        </w:tcBorders>
        <w:shd w:val="clear" w:color="auto" w:fill="CEFF5F"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68B1F" w:themeColor="accent3"/>
        <w:left w:val="single" w:sz="8" w:space="0" w:color="F68B1F" w:themeColor="accent3"/>
        <w:bottom w:val="single" w:sz="8" w:space="0" w:color="F68B1F" w:themeColor="accent3"/>
        <w:right w:val="single" w:sz="8" w:space="0" w:color="F68B1F" w:themeColor="accent3"/>
        <w:insideH w:val="single" w:sz="8" w:space="0" w:color="F68B1F" w:themeColor="accent3"/>
        <w:insideV w:val="single" w:sz="8" w:space="0" w:color="F68B1F" w:themeColor="accent3"/>
      </w:tblBorders>
    </w:tblPr>
    <w:tcPr>
      <w:shd w:val="clear" w:color="auto" w:fill="FCE2C7" w:themeFill="accent3" w:themeFillTint="3F"/>
    </w:tcPr>
    <w:tblStylePr w:type="firstRow">
      <w:rPr>
        <w:b/>
        <w:bCs/>
        <w:color w:val="000000" w:themeColor="text1"/>
      </w:rPr>
      <w:tblPr/>
      <w:tcPr>
        <w:shd w:val="clear" w:color="auto" w:fill="FEF3E8"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7D2" w:themeFill="accent3" w:themeFillTint="33"/>
      </w:tcPr>
    </w:tblStylePr>
    <w:tblStylePr w:type="band1Vert">
      <w:tblPr/>
      <w:tcPr>
        <w:shd w:val="clear" w:color="auto" w:fill="FAC58F" w:themeFill="accent3" w:themeFillTint="7F"/>
      </w:tcPr>
    </w:tblStylePr>
    <w:tblStylePr w:type="band1Horz">
      <w:tblPr/>
      <w:tcPr>
        <w:tcBorders>
          <w:insideH w:val="single" w:sz="6" w:space="0" w:color="F68B1F" w:themeColor="accent3"/>
          <w:insideV w:val="single" w:sz="6" w:space="0" w:color="F68B1F" w:themeColor="accent3"/>
        </w:tcBorders>
        <w:shd w:val="clear" w:color="auto" w:fill="FAC58F"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9E007E" w:themeColor="accent4"/>
        <w:left w:val="single" w:sz="8" w:space="0" w:color="9E007E" w:themeColor="accent4"/>
        <w:bottom w:val="single" w:sz="8" w:space="0" w:color="9E007E" w:themeColor="accent4"/>
        <w:right w:val="single" w:sz="8" w:space="0" w:color="9E007E" w:themeColor="accent4"/>
        <w:insideH w:val="single" w:sz="8" w:space="0" w:color="9E007E" w:themeColor="accent4"/>
        <w:insideV w:val="single" w:sz="8" w:space="0" w:color="9E007E" w:themeColor="accent4"/>
      </w:tblBorders>
    </w:tblPr>
    <w:tcPr>
      <w:shd w:val="clear" w:color="auto" w:fill="FFA8ED" w:themeFill="accent4" w:themeFillTint="3F"/>
    </w:tcPr>
    <w:tblStylePr w:type="firstRow">
      <w:rPr>
        <w:b/>
        <w:bCs/>
        <w:color w:val="000000" w:themeColor="text1"/>
      </w:rPr>
      <w:tblPr/>
      <w:tcPr>
        <w:shd w:val="clear" w:color="auto" w:fill="FFDCF7"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B8F0" w:themeFill="accent4" w:themeFillTint="33"/>
      </w:tcPr>
    </w:tblStylePr>
    <w:tblStylePr w:type="band1Vert">
      <w:tblPr/>
      <w:tcPr>
        <w:shd w:val="clear" w:color="auto" w:fill="FF4FDB" w:themeFill="accent4" w:themeFillTint="7F"/>
      </w:tcPr>
    </w:tblStylePr>
    <w:tblStylePr w:type="band1Horz">
      <w:tblPr/>
      <w:tcPr>
        <w:tcBorders>
          <w:insideH w:val="single" w:sz="6" w:space="0" w:color="9E007E" w:themeColor="accent4"/>
          <w:insideV w:val="single" w:sz="6" w:space="0" w:color="9E007E" w:themeColor="accent4"/>
        </w:tcBorders>
        <w:shd w:val="clear" w:color="auto" w:fill="FF4FDB"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FE512" w:themeColor="accent5"/>
        <w:left w:val="single" w:sz="8" w:space="0" w:color="FFE512" w:themeColor="accent5"/>
        <w:bottom w:val="single" w:sz="8" w:space="0" w:color="FFE512" w:themeColor="accent5"/>
        <w:right w:val="single" w:sz="8" w:space="0" w:color="FFE512" w:themeColor="accent5"/>
        <w:insideH w:val="single" w:sz="8" w:space="0" w:color="FFE512" w:themeColor="accent5"/>
        <w:insideV w:val="single" w:sz="8" w:space="0" w:color="FFE512" w:themeColor="accent5"/>
      </w:tblBorders>
    </w:tblPr>
    <w:tcPr>
      <w:shd w:val="clear" w:color="auto" w:fill="FFF8C4" w:themeFill="accent5" w:themeFillTint="3F"/>
    </w:tcPr>
    <w:tblStylePr w:type="firstRow">
      <w:rPr>
        <w:b/>
        <w:bCs/>
        <w:color w:val="000000" w:themeColor="text1"/>
      </w:rPr>
      <w:tblPr/>
      <w:tcPr>
        <w:shd w:val="clear" w:color="auto" w:fill="FFFCE7"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9CF" w:themeFill="accent5" w:themeFillTint="33"/>
      </w:tcPr>
    </w:tblStylePr>
    <w:tblStylePr w:type="band1Vert">
      <w:tblPr/>
      <w:tcPr>
        <w:shd w:val="clear" w:color="auto" w:fill="FFF288" w:themeFill="accent5" w:themeFillTint="7F"/>
      </w:tcPr>
    </w:tblStylePr>
    <w:tblStylePr w:type="band1Horz">
      <w:tblPr/>
      <w:tcPr>
        <w:tcBorders>
          <w:insideH w:val="single" w:sz="6" w:space="0" w:color="FFE512" w:themeColor="accent5"/>
          <w:insideV w:val="single" w:sz="6" w:space="0" w:color="FFE512" w:themeColor="accent5"/>
        </w:tcBorders>
        <w:shd w:val="clear" w:color="auto" w:fill="FFF288"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8C8279" w:themeColor="accent6"/>
        <w:left w:val="single" w:sz="8" w:space="0" w:color="8C8279" w:themeColor="accent6"/>
        <w:bottom w:val="single" w:sz="8" w:space="0" w:color="8C8279" w:themeColor="accent6"/>
        <w:right w:val="single" w:sz="8" w:space="0" w:color="8C8279" w:themeColor="accent6"/>
        <w:insideH w:val="single" w:sz="8" w:space="0" w:color="8C8279" w:themeColor="accent6"/>
        <w:insideV w:val="single" w:sz="8" w:space="0" w:color="8C8279" w:themeColor="accent6"/>
      </w:tblBorders>
    </w:tblPr>
    <w:tcPr>
      <w:shd w:val="clear" w:color="auto" w:fill="E2E0DD" w:themeFill="accent6" w:themeFillTint="3F"/>
    </w:tcPr>
    <w:tblStylePr w:type="firstRow">
      <w:rPr>
        <w:b/>
        <w:bCs/>
        <w:color w:val="000000" w:themeColor="text1"/>
      </w:rPr>
      <w:tblPr/>
      <w:tcPr>
        <w:shd w:val="clear" w:color="auto" w:fill="F3F2F1"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8E5E4" w:themeFill="accent6" w:themeFillTint="33"/>
      </w:tcPr>
    </w:tblStylePr>
    <w:tblStylePr w:type="band1Vert">
      <w:tblPr/>
      <w:tcPr>
        <w:shd w:val="clear" w:color="auto" w:fill="C5C0BC" w:themeFill="accent6" w:themeFillTint="7F"/>
      </w:tcPr>
    </w:tblStylePr>
    <w:tblStylePr w:type="band1Horz">
      <w:tblPr/>
      <w:tcPr>
        <w:tcBorders>
          <w:insideH w:val="single" w:sz="6" w:space="0" w:color="8C8279" w:themeColor="accent6"/>
          <w:insideV w:val="single" w:sz="6" w:space="0" w:color="8C8279" w:themeColor="accent6"/>
        </w:tcBorders>
        <w:shd w:val="clear" w:color="auto" w:fill="C5C0BC"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8F0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B5E2"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B5E2"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B5E2"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B5E2"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1E2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1E2FF" w:themeFill="accent1" w:themeFillTint="7F"/>
      </w:tcPr>
    </w:tblStylePr>
  </w:style>
  <w:style w:type="table" w:styleId="MediumGrid3-Accent2">
    <w:name w:val="Medium Grid 3 Accent 2"/>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7FFA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4BD0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4BD0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4BD0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4BD0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FF5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FF5F" w:themeFill="accent2" w:themeFillTint="7F"/>
      </w:tcPr>
    </w:tblStylePr>
  </w:style>
  <w:style w:type="table" w:styleId="MediumGrid3-Accent3">
    <w:name w:val="Medium Grid 3 Accent 3"/>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CE2C7"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68B1F"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68B1F"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68B1F"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68B1F"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AC58F"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AC58F" w:themeFill="accent3" w:themeFillTint="7F"/>
      </w:tcPr>
    </w:tblStylePr>
  </w:style>
  <w:style w:type="table" w:styleId="MediumGrid3-Accent4">
    <w:name w:val="Medium Grid 3 Accent 4"/>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A8ED"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E007E"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E007E"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E007E"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E007E"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4FDB"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4FDB" w:themeFill="accent4" w:themeFillTint="7F"/>
      </w:tcPr>
    </w:tblStylePr>
  </w:style>
  <w:style w:type="table" w:styleId="MediumGrid3-Accent5">
    <w:name w:val="Medium Grid 3 Accent 5"/>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F8C4"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E512"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E512"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E512"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E512"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F288"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F288" w:themeFill="accent5" w:themeFillTint="7F"/>
      </w:tcPr>
    </w:tblStylePr>
  </w:style>
  <w:style w:type="table" w:styleId="MediumGrid3-Accent6">
    <w:name w:val="Medium Grid 3 Accent 6"/>
    <w:basedOn w:val="TableNormal"/>
    <w:uiPriority w:val="69"/>
    <w:semiHidden/>
    <w:unhideWhenUsed/>
    <w:rsid w:val="009E6ED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2E0DD"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C8279"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C8279"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C8279"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C8279"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5C0BC"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5C0BC" w:themeFill="accent6" w:themeFillTint="7F"/>
      </w:tcPr>
    </w:tblStylePr>
  </w:style>
  <w:style w:type="table" w:styleId="MediumList1">
    <w:name w:val="Medium List 1"/>
    <w:basedOn w:val="TableNormal"/>
    <w:uiPriority w:val="65"/>
    <w:semiHidden/>
    <w:unhideWhenUsed/>
    <w:rsid w:val="009E6ED7"/>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000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9E6ED7"/>
    <w:rPr>
      <w:color w:val="000000" w:themeColor="text1"/>
    </w:rPr>
    <w:tblPr>
      <w:tblStyleRowBandSize w:val="1"/>
      <w:tblStyleColBandSize w:val="1"/>
      <w:tblBorders>
        <w:top w:val="single" w:sz="8" w:space="0" w:color="00B5E2" w:themeColor="accent1"/>
        <w:bottom w:val="single" w:sz="8" w:space="0" w:color="00B5E2" w:themeColor="accent1"/>
      </w:tblBorders>
    </w:tblPr>
    <w:tblStylePr w:type="firstRow">
      <w:rPr>
        <w:rFonts w:asciiTheme="majorHAnsi" w:eastAsiaTheme="majorEastAsia" w:hAnsiTheme="majorHAnsi" w:cstheme="majorBidi"/>
      </w:rPr>
      <w:tblPr/>
      <w:tcPr>
        <w:tcBorders>
          <w:top w:val="nil"/>
          <w:bottom w:val="single" w:sz="8" w:space="0" w:color="00B5E2" w:themeColor="accent1"/>
        </w:tcBorders>
      </w:tcPr>
    </w:tblStylePr>
    <w:tblStylePr w:type="lastRow">
      <w:rPr>
        <w:b/>
        <w:bCs/>
        <w:color w:val="000000" w:themeColor="text2"/>
      </w:rPr>
      <w:tblPr/>
      <w:tcPr>
        <w:tcBorders>
          <w:top w:val="single" w:sz="8" w:space="0" w:color="00B5E2" w:themeColor="accent1"/>
          <w:bottom w:val="single" w:sz="8" w:space="0" w:color="00B5E2" w:themeColor="accent1"/>
        </w:tcBorders>
      </w:tcPr>
    </w:tblStylePr>
    <w:tblStylePr w:type="firstCol">
      <w:rPr>
        <w:b/>
        <w:bCs/>
      </w:rPr>
    </w:tblStylePr>
    <w:tblStylePr w:type="lastCol">
      <w:rPr>
        <w:b/>
        <w:bCs/>
      </w:rPr>
      <w:tblPr/>
      <w:tcPr>
        <w:tcBorders>
          <w:top w:val="single" w:sz="8" w:space="0" w:color="00B5E2" w:themeColor="accent1"/>
          <w:bottom w:val="single" w:sz="8" w:space="0" w:color="00B5E2" w:themeColor="accent1"/>
        </w:tcBorders>
      </w:tcPr>
    </w:tblStylePr>
    <w:tblStylePr w:type="band1Vert">
      <w:tblPr/>
      <w:tcPr>
        <w:shd w:val="clear" w:color="auto" w:fill="B8F0FF" w:themeFill="accent1" w:themeFillTint="3F"/>
      </w:tcPr>
    </w:tblStylePr>
    <w:tblStylePr w:type="band1Horz">
      <w:tblPr/>
      <w:tcPr>
        <w:shd w:val="clear" w:color="auto" w:fill="B8F0FF" w:themeFill="accent1" w:themeFillTint="3F"/>
      </w:tcPr>
    </w:tblStylePr>
  </w:style>
  <w:style w:type="table" w:styleId="MediumList1-Accent2">
    <w:name w:val="Medium List 1 Accent 2"/>
    <w:basedOn w:val="TableNormal"/>
    <w:uiPriority w:val="65"/>
    <w:semiHidden/>
    <w:unhideWhenUsed/>
    <w:rsid w:val="009E6ED7"/>
    <w:rPr>
      <w:color w:val="000000" w:themeColor="text1"/>
    </w:rPr>
    <w:tblPr>
      <w:tblStyleRowBandSize w:val="1"/>
      <w:tblStyleColBandSize w:val="1"/>
      <w:tblBorders>
        <w:top w:val="single" w:sz="8" w:space="0" w:color="84BD00" w:themeColor="accent2"/>
        <w:bottom w:val="single" w:sz="8" w:space="0" w:color="84BD00" w:themeColor="accent2"/>
      </w:tblBorders>
    </w:tblPr>
    <w:tblStylePr w:type="firstRow">
      <w:rPr>
        <w:rFonts w:asciiTheme="majorHAnsi" w:eastAsiaTheme="majorEastAsia" w:hAnsiTheme="majorHAnsi" w:cstheme="majorBidi"/>
      </w:rPr>
      <w:tblPr/>
      <w:tcPr>
        <w:tcBorders>
          <w:top w:val="nil"/>
          <w:bottom w:val="single" w:sz="8" w:space="0" w:color="84BD00" w:themeColor="accent2"/>
        </w:tcBorders>
      </w:tcPr>
    </w:tblStylePr>
    <w:tblStylePr w:type="lastRow">
      <w:rPr>
        <w:b/>
        <w:bCs/>
        <w:color w:val="000000" w:themeColor="text2"/>
      </w:rPr>
      <w:tblPr/>
      <w:tcPr>
        <w:tcBorders>
          <w:top w:val="single" w:sz="8" w:space="0" w:color="84BD00" w:themeColor="accent2"/>
          <w:bottom w:val="single" w:sz="8" w:space="0" w:color="84BD00" w:themeColor="accent2"/>
        </w:tcBorders>
      </w:tcPr>
    </w:tblStylePr>
    <w:tblStylePr w:type="firstCol">
      <w:rPr>
        <w:b/>
        <w:bCs/>
      </w:rPr>
    </w:tblStylePr>
    <w:tblStylePr w:type="lastCol">
      <w:rPr>
        <w:b/>
        <w:bCs/>
      </w:rPr>
      <w:tblPr/>
      <w:tcPr>
        <w:tcBorders>
          <w:top w:val="single" w:sz="8" w:space="0" w:color="84BD00" w:themeColor="accent2"/>
          <w:bottom w:val="single" w:sz="8" w:space="0" w:color="84BD00" w:themeColor="accent2"/>
        </w:tcBorders>
      </w:tcPr>
    </w:tblStylePr>
    <w:tblStylePr w:type="band1Vert">
      <w:tblPr/>
      <w:tcPr>
        <w:shd w:val="clear" w:color="auto" w:fill="E7FFAF" w:themeFill="accent2" w:themeFillTint="3F"/>
      </w:tcPr>
    </w:tblStylePr>
    <w:tblStylePr w:type="band1Horz">
      <w:tblPr/>
      <w:tcPr>
        <w:shd w:val="clear" w:color="auto" w:fill="E7FFAF" w:themeFill="accent2" w:themeFillTint="3F"/>
      </w:tcPr>
    </w:tblStylePr>
  </w:style>
  <w:style w:type="table" w:styleId="MediumList1-Accent3">
    <w:name w:val="Medium List 1 Accent 3"/>
    <w:basedOn w:val="TableNormal"/>
    <w:uiPriority w:val="65"/>
    <w:semiHidden/>
    <w:unhideWhenUsed/>
    <w:rsid w:val="009E6ED7"/>
    <w:rPr>
      <w:color w:val="000000" w:themeColor="text1"/>
    </w:rPr>
    <w:tblPr>
      <w:tblStyleRowBandSize w:val="1"/>
      <w:tblStyleColBandSize w:val="1"/>
      <w:tblBorders>
        <w:top w:val="single" w:sz="8" w:space="0" w:color="F68B1F" w:themeColor="accent3"/>
        <w:bottom w:val="single" w:sz="8" w:space="0" w:color="F68B1F" w:themeColor="accent3"/>
      </w:tblBorders>
    </w:tblPr>
    <w:tblStylePr w:type="firstRow">
      <w:rPr>
        <w:rFonts w:asciiTheme="majorHAnsi" w:eastAsiaTheme="majorEastAsia" w:hAnsiTheme="majorHAnsi" w:cstheme="majorBidi"/>
      </w:rPr>
      <w:tblPr/>
      <w:tcPr>
        <w:tcBorders>
          <w:top w:val="nil"/>
          <w:bottom w:val="single" w:sz="8" w:space="0" w:color="F68B1F" w:themeColor="accent3"/>
        </w:tcBorders>
      </w:tcPr>
    </w:tblStylePr>
    <w:tblStylePr w:type="lastRow">
      <w:rPr>
        <w:b/>
        <w:bCs/>
        <w:color w:val="000000" w:themeColor="text2"/>
      </w:rPr>
      <w:tblPr/>
      <w:tcPr>
        <w:tcBorders>
          <w:top w:val="single" w:sz="8" w:space="0" w:color="F68B1F" w:themeColor="accent3"/>
          <w:bottom w:val="single" w:sz="8" w:space="0" w:color="F68B1F" w:themeColor="accent3"/>
        </w:tcBorders>
      </w:tcPr>
    </w:tblStylePr>
    <w:tblStylePr w:type="firstCol">
      <w:rPr>
        <w:b/>
        <w:bCs/>
      </w:rPr>
    </w:tblStylePr>
    <w:tblStylePr w:type="lastCol">
      <w:rPr>
        <w:b/>
        <w:bCs/>
      </w:rPr>
      <w:tblPr/>
      <w:tcPr>
        <w:tcBorders>
          <w:top w:val="single" w:sz="8" w:space="0" w:color="F68B1F" w:themeColor="accent3"/>
          <w:bottom w:val="single" w:sz="8" w:space="0" w:color="F68B1F" w:themeColor="accent3"/>
        </w:tcBorders>
      </w:tcPr>
    </w:tblStylePr>
    <w:tblStylePr w:type="band1Vert">
      <w:tblPr/>
      <w:tcPr>
        <w:shd w:val="clear" w:color="auto" w:fill="FCE2C7" w:themeFill="accent3" w:themeFillTint="3F"/>
      </w:tcPr>
    </w:tblStylePr>
    <w:tblStylePr w:type="band1Horz">
      <w:tblPr/>
      <w:tcPr>
        <w:shd w:val="clear" w:color="auto" w:fill="FCE2C7" w:themeFill="accent3" w:themeFillTint="3F"/>
      </w:tcPr>
    </w:tblStylePr>
  </w:style>
  <w:style w:type="table" w:styleId="MediumList1-Accent4">
    <w:name w:val="Medium List 1 Accent 4"/>
    <w:basedOn w:val="TableNormal"/>
    <w:uiPriority w:val="65"/>
    <w:semiHidden/>
    <w:unhideWhenUsed/>
    <w:rsid w:val="009E6ED7"/>
    <w:rPr>
      <w:color w:val="000000" w:themeColor="text1"/>
    </w:rPr>
    <w:tblPr>
      <w:tblStyleRowBandSize w:val="1"/>
      <w:tblStyleColBandSize w:val="1"/>
      <w:tblBorders>
        <w:top w:val="single" w:sz="8" w:space="0" w:color="9E007E" w:themeColor="accent4"/>
        <w:bottom w:val="single" w:sz="8" w:space="0" w:color="9E007E" w:themeColor="accent4"/>
      </w:tblBorders>
    </w:tblPr>
    <w:tblStylePr w:type="firstRow">
      <w:rPr>
        <w:rFonts w:asciiTheme="majorHAnsi" w:eastAsiaTheme="majorEastAsia" w:hAnsiTheme="majorHAnsi" w:cstheme="majorBidi"/>
      </w:rPr>
      <w:tblPr/>
      <w:tcPr>
        <w:tcBorders>
          <w:top w:val="nil"/>
          <w:bottom w:val="single" w:sz="8" w:space="0" w:color="9E007E" w:themeColor="accent4"/>
        </w:tcBorders>
      </w:tcPr>
    </w:tblStylePr>
    <w:tblStylePr w:type="lastRow">
      <w:rPr>
        <w:b/>
        <w:bCs/>
        <w:color w:val="000000" w:themeColor="text2"/>
      </w:rPr>
      <w:tblPr/>
      <w:tcPr>
        <w:tcBorders>
          <w:top w:val="single" w:sz="8" w:space="0" w:color="9E007E" w:themeColor="accent4"/>
          <w:bottom w:val="single" w:sz="8" w:space="0" w:color="9E007E" w:themeColor="accent4"/>
        </w:tcBorders>
      </w:tcPr>
    </w:tblStylePr>
    <w:tblStylePr w:type="firstCol">
      <w:rPr>
        <w:b/>
        <w:bCs/>
      </w:rPr>
    </w:tblStylePr>
    <w:tblStylePr w:type="lastCol">
      <w:rPr>
        <w:b/>
        <w:bCs/>
      </w:rPr>
      <w:tblPr/>
      <w:tcPr>
        <w:tcBorders>
          <w:top w:val="single" w:sz="8" w:space="0" w:color="9E007E" w:themeColor="accent4"/>
          <w:bottom w:val="single" w:sz="8" w:space="0" w:color="9E007E" w:themeColor="accent4"/>
        </w:tcBorders>
      </w:tcPr>
    </w:tblStylePr>
    <w:tblStylePr w:type="band1Vert">
      <w:tblPr/>
      <w:tcPr>
        <w:shd w:val="clear" w:color="auto" w:fill="FFA8ED" w:themeFill="accent4" w:themeFillTint="3F"/>
      </w:tcPr>
    </w:tblStylePr>
    <w:tblStylePr w:type="band1Horz">
      <w:tblPr/>
      <w:tcPr>
        <w:shd w:val="clear" w:color="auto" w:fill="FFA8ED" w:themeFill="accent4" w:themeFillTint="3F"/>
      </w:tcPr>
    </w:tblStylePr>
  </w:style>
  <w:style w:type="table" w:styleId="MediumList1-Accent5">
    <w:name w:val="Medium List 1 Accent 5"/>
    <w:basedOn w:val="TableNormal"/>
    <w:uiPriority w:val="65"/>
    <w:semiHidden/>
    <w:unhideWhenUsed/>
    <w:rsid w:val="009E6ED7"/>
    <w:rPr>
      <w:color w:val="000000" w:themeColor="text1"/>
    </w:rPr>
    <w:tblPr>
      <w:tblStyleRowBandSize w:val="1"/>
      <w:tblStyleColBandSize w:val="1"/>
      <w:tblBorders>
        <w:top w:val="single" w:sz="8" w:space="0" w:color="FFE512" w:themeColor="accent5"/>
        <w:bottom w:val="single" w:sz="8" w:space="0" w:color="FFE512" w:themeColor="accent5"/>
      </w:tblBorders>
    </w:tblPr>
    <w:tblStylePr w:type="firstRow">
      <w:rPr>
        <w:rFonts w:asciiTheme="majorHAnsi" w:eastAsiaTheme="majorEastAsia" w:hAnsiTheme="majorHAnsi" w:cstheme="majorBidi"/>
      </w:rPr>
      <w:tblPr/>
      <w:tcPr>
        <w:tcBorders>
          <w:top w:val="nil"/>
          <w:bottom w:val="single" w:sz="8" w:space="0" w:color="FFE512" w:themeColor="accent5"/>
        </w:tcBorders>
      </w:tcPr>
    </w:tblStylePr>
    <w:tblStylePr w:type="lastRow">
      <w:rPr>
        <w:b/>
        <w:bCs/>
        <w:color w:val="000000" w:themeColor="text2"/>
      </w:rPr>
      <w:tblPr/>
      <w:tcPr>
        <w:tcBorders>
          <w:top w:val="single" w:sz="8" w:space="0" w:color="FFE512" w:themeColor="accent5"/>
          <w:bottom w:val="single" w:sz="8" w:space="0" w:color="FFE512" w:themeColor="accent5"/>
        </w:tcBorders>
      </w:tcPr>
    </w:tblStylePr>
    <w:tblStylePr w:type="firstCol">
      <w:rPr>
        <w:b/>
        <w:bCs/>
      </w:rPr>
    </w:tblStylePr>
    <w:tblStylePr w:type="lastCol">
      <w:rPr>
        <w:b/>
        <w:bCs/>
      </w:rPr>
      <w:tblPr/>
      <w:tcPr>
        <w:tcBorders>
          <w:top w:val="single" w:sz="8" w:space="0" w:color="FFE512" w:themeColor="accent5"/>
          <w:bottom w:val="single" w:sz="8" w:space="0" w:color="FFE512" w:themeColor="accent5"/>
        </w:tcBorders>
      </w:tcPr>
    </w:tblStylePr>
    <w:tblStylePr w:type="band1Vert">
      <w:tblPr/>
      <w:tcPr>
        <w:shd w:val="clear" w:color="auto" w:fill="FFF8C4" w:themeFill="accent5" w:themeFillTint="3F"/>
      </w:tcPr>
    </w:tblStylePr>
    <w:tblStylePr w:type="band1Horz">
      <w:tblPr/>
      <w:tcPr>
        <w:shd w:val="clear" w:color="auto" w:fill="FFF8C4" w:themeFill="accent5" w:themeFillTint="3F"/>
      </w:tcPr>
    </w:tblStylePr>
  </w:style>
  <w:style w:type="table" w:styleId="MediumList1-Accent6">
    <w:name w:val="Medium List 1 Accent 6"/>
    <w:basedOn w:val="TableNormal"/>
    <w:uiPriority w:val="65"/>
    <w:semiHidden/>
    <w:unhideWhenUsed/>
    <w:rsid w:val="009E6ED7"/>
    <w:rPr>
      <w:color w:val="000000" w:themeColor="text1"/>
    </w:rPr>
    <w:tblPr>
      <w:tblStyleRowBandSize w:val="1"/>
      <w:tblStyleColBandSize w:val="1"/>
      <w:tblBorders>
        <w:top w:val="single" w:sz="8" w:space="0" w:color="8C8279" w:themeColor="accent6"/>
        <w:bottom w:val="single" w:sz="8" w:space="0" w:color="8C8279" w:themeColor="accent6"/>
      </w:tblBorders>
    </w:tblPr>
    <w:tblStylePr w:type="firstRow">
      <w:rPr>
        <w:rFonts w:asciiTheme="majorHAnsi" w:eastAsiaTheme="majorEastAsia" w:hAnsiTheme="majorHAnsi" w:cstheme="majorBidi"/>
      </w:rPr>
      <w:tblPr/>
      <w:tcPr>
        <w:tcBorders>
          <w:top w:val="nil"/>
          <w:bottom w:val="single" w:sz="8" w:space="0" w:color="8C8279" w:themeColor="accent6"/>
        </w:tcBorders>
      </w:tcPr>
    </w:tblStylePr>
    <w:tblStylePr w:type="lastRow">
      <w:rPr>
        <w:b/>
        <w:bCs/>
        <w:color w:val="000000" w:themeColor="text2"/>
      </w:rPr>
      <w:tblPr/>
      <w:tcPr>
        <w:tcBorders>
          <w:top w:val="single" w:sz="8" w:space="0" w:color="8C8279" w:themeColor="accent6"/>
          <w:bottom w:val="single" w:sz="8" w:space="0" w:color="8C8279" w:themeColor="accent6"/>
        </w:tcBorders>
      </w:tcPr>
    </w:tblStylePr>
    <w:tblStylePr w:type="firstCol">
      <w:rPr>
        <w:b/>
        <w:bCs/>
      </w:rPr>
    </w:tblStylePr>
    <w:tblStylePr w:type="lastCol">
      <w:rPr>
        <w:b/>
        <w:bCs/>
      </w:rPr>
      <w:tblPr/>
      <w:tcPr>
        <w:tcBorders>
          <w:top w:val="single" w:sz="8" w:space="0" w:color="8C8279" w:themeColor="accent6"/>
          <w:bottom w:val="single" w:sz="8" w:space="0" w:color="8C8279" w:themeColor="accent6"/>
        </w:tcBorders>
      </w:tcPr>
    </w:tblStylePr>
    <w:tblStylePr w:type="band1Vert">
      <w:tblPr/>
      <w:tcPr>
        <w:shd w:val="clear" w:color="auto" w:fill="E2E0DD" w:themeFill="accent6" w:themeFillTint="3F"/>
      </w:tcPr>
    </w:tblStylePr>
    <w:tblStylePr w:type="band1Horz">
      <w:tblPr/>
      <w:tcPr>
        <w:shd w:val="clear" w:color="auto" w:fill="E2E0DD" w:themeFill="accent6" w:themeFillTint="3F"/>
      </w:tcPr>
    </w:tblStylePr>
  </w:style>
  <w:style w:type="table" w:styleId="MediumList2">
    <w:name w:val="Medium List 2"/>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00B5E2" w:themeColor="accent1"/>
        <w:left w:val="single" w:sz="8" w:space="0" w:color="00B5E2" w:themeColor="accent1"/>
        <w:bottom w:val="single" w:sz="8" w:space="0" w:color="00B5E2" w:themeColor="accent1"/>
        <w:right w:val="single" w:sz="8" w:space="0" w:color="00B5E2" w:themeColor="accent1"/>
      </w:tblBorders>
    </w:tblPr>
    <w:tblStylePr w:type="firstRow">
      <w:rPr>
        <w:sz w:val="24"/>
        <w:szCs w:val="24"/>
      </w:rPr>
      <w:tblPr/>
      <w:tcPr>
        <w:tcBorders>
          <w:top w:val="nil"/>
          <w:left w:val="nil"/>
          <w:bottom w:val="single" w:sz="24" w:space="0" w:color="00B5E2" w:themeColor="accent1"/>
          <w:right w:val="nil"/>
          <w:insideH w:val="nil"/>
          <w:insideV w:val="nil"/>
        </w:tcBorders>
        <w:shd w:val="clear" w:color="auto" w:fill="FFFFFF" w:themeFill="background1"/>
      </w:tcPr>
    </w:tblStylePr>
    <w:tblStylePr w:type="lastRow">
      <w:tblPr/>
      <w:tcPr>
        <w:tcBorders>
          <w:top w:val="single" w:sz="8" w:space="0" w:color="00B5E2"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B5E2" w:themeColor="accent1"/>
          <w:insideH w:val="nil"/>
          <w:insideV w:val="nil"/>
        </w:tcBorders>
        <w:shd w:val="clear" w:color="auto" w:fill="FFFFFF" w:themeFill="background1"/>
      </w:tcPr>
    </w:tblStylePr>
    <w:tblStylePr w:type="lastCol">
      <w:tblPr/>
      <w:tcPr>
        <w:tcBorders>
          <w:top w:val="nil"/>
          <w:left w:val="single" w:sz="8" w:space="0" w:color="00B5E2"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8F0FF" w:themeFill="accent1" w:themeFillTint="3F"/>
      </w:tcPr>
    </w:tblStylePr>
    <w:tblStylePr w:type="band1Horz">
      <w:tblPr/>
      <w:tcPr>
        <w:tcBorders>
          <w:top w:val="nil"/>
          <w:bottom w:val="nil"/>
          <w:insideH w:val="nil"/>
          <w:insideV w:val="nil"/>
        </w:tcBorders>
        <w:shd w:val="clear" w:color="auto" w:fill="B8F0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84BD00" w:themeColor="accent2"/>
        <w:left w:val="single" w:sz="8" w:space="0" w:color="84BD00" w:themeColor="accent2"/>
        <w:bottom w:val="single" w:sz="8" w:space="0" w:color="84BD00" w:themeColor="accent2"/>
        <w:right w:val="single" w:sz="8" w:space="0" w:color="84BD00" w:themeColor="accent2"/>
      </w:tblBorders>
    </w:tblPr>
    <w:tblStylePr w:type="firstRow">
      <w:rPr>
        <w:sz w:val="24"/>
        <w:szCs w:val="24"/>
      </w:rPr>
      <w:tblPr/>
      <w:tcPr>
        <w:tcBorders>
          <w:top w:val="nil"/>
          <w:left w:val="nil"/>
          <w:bottom w:val="single" w:sz="24" w:space="0" w:color="84BD00" w:themeColor="accent2"/>
          <w:right w:val="nil"/>
          <w:insideH w:val="nil"/>
          <w:insideV w:val="nil"/>
        </w:tcBorders>
        <w:shd w:val="clear" w:color="auto" w:fill="FFFFFF" w:themeFill="background1"/>
      </w:tcPr>
    </w:tblStylePr>
    <w:tblStylePr w:type="lastRow">
      <w:tblPr/>
      <w:tcPr>
        <w:tcBorders>
          <w:top w:val="single" w:sz="8" w:space="0" w:color="84BD0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4BD00" w:themeColor="accent2"/>
          <w:insideH w:val="nil"/>
          <w:insideV w:val="nil"/>
        </w:tcBorders>
        <w:shd w:val="clear" w:color="auto" w:fill="FFFFFF" w:themeFill="background1"/>
      </w:tcPr>
    </w:tblStylePr>
    <w:tblStylePr w:type="lastCol">
      <w:tblPr/>
      <w:tcPr>
        <w:tcBorders>
          <w:top w:val="nil"/>
          <w:left w:val="single" w:sz="8" w:space="0" w:color="84BD0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7FFAF" w:themeFill="accent2" w:themeFillTint="3F"/>
      </w:tcPr>
    </w:tblStylePr>
    <w:tblStylePr w:type="band1Horz">
      <w:tblPr/>
      <w:tcPr>
        <w:tcBorders>
          <w:top w:val="nil"/>
          <w:bottom w:val="nil"/>
          <w:insideH w:val="nil"/>
          <w:insideV w:val="nil"/>
        </w:tcBorders>
        <w:shd w:val="clear" w:color="auto" w:fill="E7FFA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68B1F" w:themeColor="accent3"/>
        <w:left w:val="single" w:sz="8" w:space="0" w:color="F68B1F" w:themeColor="accent3"/>
        <w:bottom w:val="single" w:sz="8" w:space="0" w:color="F68B1F" w:themeColor="accent3"/>
        <w:right w:val="single" w:sz="8" w:space="0" w:color="F68B1F" w:themeColor="accent3"/>
      </w:tblBorders>
    </w:tblPr>
    <w:tblStylePr w:type="firstRow">
      <w:rPr>
        <w:sz w:val="24"/>
        <w:szCs w:val="24"/>
      </w:rPr>
      <w:tblPr/>
      <w:tcPr>
        <w:tcBorders>
          <w:top w:val="nil"/>
          <w:left w:val="nil"/>
          <w:bottom w:val="single" w:sz="24" w:space="0" w:color="F68B1F" w:themeColor="accent3"/>
          <w:right w:val="nil"/>
          <w:insideH w:val="nil"/>
          <w:insideV w:val="nil"/>
        </w:tcBorders>
        <w:shd w:val="clear" w:color="auto" w:fill="FFFFFF" w:themeFill="background1"/>
      </w:tcPr>
    </w:tblStylePr>
    <w:tblStylePr w:type="lastRow">
      <w:tblPr/>
      <w:tcPr>
        <w:tcBorders>
          <w:top w:val="single" w:sz="8" w:space="0" w:color="F68B1F"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68B1F" w:themeColor="accent3"/>
          <w:insideH w:val="nil"/>
          <w:insideV w:val="nil"/>
        </w:tcBorders>
        <w:shd w:val="clear" w:color="auto" w:fill="FFFFFF" w:themeFill="background1"/>
      </w:tcPr>
    </w:tblStylePr>
    <w:tblStylePr w:type="lastCol">
      <w:tblPr/>
      <w:tcPr>
        <w:tcBorders>
          <w:top w:val="nil"/>
          <w:left w:val="single" w:sz="8" w:space="0" w:color="F68B1F"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CE2C7" w:themeFill="accent3" w:themeFillTint="3F"/>
      </w:tcPr>
    </w:tblStylePr>
    <w:tblStylePr w:type="band1Horz">
      <w:tblPr/>
      <w:tcPr>
        <w:tcBorders>
          <w:top w:val="nil"/>
          <w:bottom w:val="nil"/>
          <w:insideH w:val="nil"/>
          <w:insideV w:val="nil"/>
        </w:tcBorders>
        <w:shd w:val="clear" w:color="auto" w:fill="FCE2C7"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9E007E" w:themeColor="accent4"/>
        <w:left w:val="single" w:sz="8" w:space="0" w:color="9E007E" w:themeColor="accent4"/>
        <w:bottom w:val="single" w:sz="8" w:space="0" w:color="9E007E" w:themeColor="accent4"/>
        <w:right w:val="single" w:sz="8" w:space="0" w:color="9E007E" w:themeColor="accent4"/>
      </w:tblBorders>
    </w:tblPr>
    <w:tblStylePr w:type="firstRow">
      <w:rPr>
        <w:sz w:val="24"/>
        <w:szCs w:val="24"/>
      </w:rPr>
      <w:tblPr/>
      <w:tcPr>
        <w:tcBorders>
          <w:top w:val="nil"/>
          <w:left w:val="nil"/>
          <w:bottom w:val="single" w:sz="24" w:space="0" w:color="9E007E" w:themeColor="accent4"/>
          <w:right w:val="nil"/>
          <w:insideH w:val="nil"/>
          <w:insideV w:val="nil"/>
        </w:tcBorders>
        <w:shd w:val="clear" w:color="auto" w:fill="FFFFFF" w:themeFill="background1"/>
      </w:tcPr>
    </w:tblStylePr>
    <w:tblStylePr w:type="lastRow">
      <w:tblPr/>
      <w:tcPr>
        <w:tcBorders>
          <w:top w:val="single" w:sz="8" w:space="0" w:color="9E007E"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E007E" w:themeColor="accent4"/>
          <w:insideH w:val="nil"/>
          <w:insideV w:val="nil"/>
        </w:tcBorders>
        <w:shd w:val="clear" w:color="auto" w:fill="FFFFFF" w:themeFill="background1"/>
      </w:tcPr>
    </w:tblStylePr>
    <w:tblStylePr w:type="lastCol">
      <w:tblPr/>
      <w:tcPr>
        <w:tcBorders>
          <w:top w:val="nil"/>
          <w:left w:val="single" w:sz="8" w:space="0" w:color="9E007E"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A8ED" w:themeFill="accent4" w:themeFillTint="3F"/>
      </w:tcPr>
    </w:tblStylePr>
    <w:tblStylePr w:type="band1Horz">
      <w:tblPr/>
      <w:tcPr>
        <w:tcBorders>
          <w:top w:val="nil"/>
          <w:bottom w:val="nil"/>
          <w:insideH w:val="nil"/>
          <w:insideV w:val="nil"/>
        </w:tcBorders>
        <w:shd w:val="clear" w:color="auto" w:fill="FFA8ED"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FFE512" w:themeColor="accent5"/>
        <w:left w:val="single" w:sz="8" w:space="0" w:color="FFE512" w:themeColor="accent5"/>
        <w:bottom w:val="single" w:sz="8" w:space="0" w:color="FFE512" w:themeColor="accent5"/>
        <w:right w:val="single" w:sz="8" w:space="0" w:color="FFE512" w:themeColor="accent5"/>
      </w:tblBorders>
    </w:tblPr>
    <w:tblStylePr w:type="firstRow">
      <w:rPr>
        <w:sz w:val="24"/>
        <w:szCs w:val="24"/>
      </w:rPr>
      <w:tblPr/>
      <w:tcPr>
        <w:tcBorders>
          <w:top w:val="nil"/>
          <w:left w:val="nil"/>
          <w:bottom w:val="single" w:sz="24" w:space="0" w:color="FFE512" w:themeColor="accent5"/>
          <w:right w:val="nil"/>
          <w:insideH w:val="nil"/>
          <w:insideV w:val="nil"/>
        </w:tcBorders>
        <w:shd w:val="clear" w:color="auto" w:fill="FFFFFF" w:themeFill="background1"/>
      </w:tcPr>
    </w:tblStylePr>
    <w:tblStylePr w:type="lastRow">
      <w:tblPr/>
      <w:tcPr>
        <w:tcBorders>
          <w:top w:val="single" w:sz="8" w:space="0" w:color="FFE512"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E512" w:themeColor="accent5"/>
          <w:insideH w:val="nil"/>
          <w:insideV w:val="nil"/>
        </w:tcBorders>
        <w:shd w:val="clear" w:color="auto" w:fill="FFFFFF" w:themeFill="background1"/>
      </w:tcPr>
    </w:tblStylePr>
    <w:tblStylePr w:type="lastCol">
      <w:tblPr/>
      <w:tcPr>
        <w:tcBorders>
          <w:top w:val="nil"/>
          <w:left w:val="single" w:sz="8" w:space="0" w:color="FFE512"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F8C4" w:themeFill="accent5" w:themeFillTint="3F"/>
      </w:tcPr>
    </w:tblStylePr>
    <w:tblStylePr w:type="band1Horz">
      <w:tblPr/>
      <w:tcPr>
        <w:tcBorders>
          <w:top w:val="nil"/>
          <w:bottom w:val="nil"/>
          <w:insideH w:val="nil"/>
          <w:insideV w:val="nil"/>
        </w:tcBorders>
        <w:shd w:val="clear" w:color="auto" w:fill="FFF8C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9E6ED7"/>
    <w:rPr>
      <w:rFonts w:asciiTheme="majorHAnsi" w:eastAsiaTheme="majorEastAsia" w:hAnsiTheme="majorHAnsi" w:cstheme="majorBidi"/>
      <w:color w:val="000000" w:themeColor="text1"/>
    </w:rPr>
    <w:tblPr>
      <w:tblStyleRowBandSize w:val="1"/>
      <w:tblStyleColBandSize w:val="1"/>
      <w:tblBorders>
        <w:top w:val="single" w:sz="8" w:space="0" w:color="8C8279" w:themeColor="accent6"/>
        <w:left w:val="single" w:sz="8" w:space="0" w:color="8C8279" w:themeColor="accent6"/>
        <w:bottom w:val="single" w:sz="8" w:space="0" w:color="8C8279" w:themeColor="accent6"/>
        <w:right w:val="single" w:sz="8" w:space="0" w:color="8C8279" w:themeColor="accent6"/>
      </w:tblBorders>
    </w:tblPr>
    <w:tblStylePr w:type="firstRow">
      <w:rPr>
        <w:sz w:val="24"/>
        <w:szCs w:val="24"/>
      </w:rPr>
      <w:tblPr/>
      <w:tcPr>
        <w:tcBorders>
          <w:top w:val="nil"/>
          <w:left w:val="nil"/>
          <w:bottom w:val="single" w:sz="24" w:space="0" w:color="8C8279" w:themeColor="accent6"/>
          <w:right w:val="nil"/>
          <w:insideH w:val="nil"/>
          <w:insideV w:val="nil"/>
        </w:tcBorders>
        <w:shd w:val="clear" w:color="auto" w:fill="FFFFFF" w:themeFill="background1"/>
      </w:tcPr>
    </w:tblStylePr>
    <w:tblStylePr w:type="lastRow">
      <w:tblPr/>
      <w:tcPr>
        <w:tcBorders>
          <w:top w:val="single" w:sz="8" w:space="0" w:color="8C8279"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C8279" w:themeColor="accent6"/>
          <w:insideH w:val="nil"/>
          <w:insideV w:val="nil"/>
        </w:tcBorders>
        <w:shd w:val="clear" w:color="auto" w:fill="FFFFFF" w:themeFill="background1"/>
      </w:tcPr>
    </w:tblStylePr>
    <w:tblStylePr w:type="lastCol">
      <w:tblPr/>
      <w:tcPr>
        <w:tcBorders>
          <w:top w:val="nil"/>
          <w:left w:val="single" w:sz="8" w:space="0" w:color="8C8279"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2E0DD" w:themeFill="accent6" w:themeFillTint="3F"/>
      </w:tcPr>
    </w:tblStylePr>
    <w:tblStylePr w:type="band1Horz">
      <w:tblPr/>
      <w:tcPr>
        <w:tcBorders>
          <w:top w:val="nil"/>
          <w:bottom w:val="nil"/>
          <w:insideH w:val="nil"/>
          <w:insideV w:val="nil"/>
        </w:tcBorders>
        <w:shd w:val="clear" w:color="auto" w:fill="E2E0DD"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9E6ED7"/>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9E6ED7"/>
    <w:tblPr>
      <w:tblStyleRowBandSize w:val="1"/>
      <w:tblStyleColBandSize w:val="1"/>
      <w:tblBorders>
        <w:top w:val="single" w:sz="8" w:space="0" w:color="2AD4FF" w:themeColor="accent1" w:themeTint="BF"/>
        <w:left w:val="single" w:sz="8" w:space="0" w:color="2AD4FF" w:themeColor="accent1" w:themeTint="BF"/>
        <w:bottom w:val="single" w:sz="8" w:space="0" w:color="2AD4FF" w:themeColor="accent1" w:themeTint="BF"/>
        <w:right w:val="single" w:sz="8" w:space="0" w:color="2AD4FF" w:themeColor="accent1" w:themeTint="BF"/>
        <w:insideH w:val="single" w:sz="8" w:space="0" w:color="2AD4FF" w:themeColor="accent1" w:themeTint="BF"/>
      </w:tblBorders>
    </w:tblPr>
    <w:tblStylePr w:type="firstRow">
      <w:pPr>
        <w:spacing w:before="0" w:after="0" w:line="240" w:lineRule="auto"/>
      </w:pPr>
      <w:rPr>
        <w:b/>
        <w:bCs/>
        <w:color w:val="FFFFFF" w:themeColor="background1"/>
      </w:rPr>
      <w:tblPr/>
      <w:tcPr>
        <w:tcBorders>
          <w:top w:val="single" w:sz="8" w:space="0" w:color="2AD4FF" w:themeColor="accent1" w:themeTint="BF"/>
          <w:left w:val="single" w:sz="8" w:space="0" w:color="2AD4FF" w:themeColor="accent1" w:themeTint="BF"/>
          <w:bottom w:val="single" w:sz="8" w:space="0" w:color="2AD4FF" w:themeColor="accent1" w:themeTint="BF"/>
          <w:right w:val="single" w:sz="8" w:space="0" w:color="2AD4FF" w:themeColor="accent1" w:themeTint="BF"/>
          <w:insideH w:val="nil"/>
          <w:insideV w:val="nil"/>
        </w:tcBorders>
        <w:shd w:val="clear" w:color="auto" w:fill="00B5E2" w:themeFill="accent1"/>
      </w:tcPr>
    </w:tblStylePr>
    <w:tblStylePr w:type="lastRow">
      <w:pPr>
        <w:spacing w:before="0" w:after="0" w:line="240" w:lineRule="auto"/>
      </w:pPr>
      <w:rPr>
        <w:b/>
        <w:bCs/>
      </w:rPr>
      <w:tblPr/>
      <w:tcPr>
        <w:tcBorders>
          <w:top w:val="double" w:sz="6" w:space="0" w:color="2AD4FF" w:themeColor="accent1" w:themeTint="BF"/>
          <w:left w:val="single" w:sz="8" w:space="0" w:color="2AD4FF" w:themeColor="accent1" w:themeTint="BF"/>
          <w:bottom w:val="single" w:sz="8" w:space="0" w:color="2AD4FF" w:themeColor="accent1" w:themeTint="BF"/>
          <w:right w:val="single" w:sz="8" w:space="0" w:color="2AD4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B8F0FF" w:themeFill="accent1" w:themeFillTint="3F"/>
      </w:tcPr>
    </w:tblStylePr>
    <w:tblStylePr w:type="band1Horz">
      <w:tblPr/>
      <w:tcPr>
        <w:tcBorders>
          <w:insideH w:val="nil"/>
          <w:insideV w:val="nil"/>
        </w:tcBorders>
        <w:shd w:val="clear" w:color="auto" w:fill="B8F0FF"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9E6ED7"/>
    <w:tblPr>
      <w:tblStyleRowBandSize w:val="1"/>
      <w:tblStyleColBandSize w:val="1"/>
      <w:tblBorders>
        <w:top w:val="single" w:sz="8" w:space="0" w:color="B6FF0E" w:themeColor="accent2" w:themeTint="BF"/>
        <w:left w:val="single" w:sz="8" w:space="0" w:color="B6FF0E" w:themeColor="accent2" w:themeTint="BF"/>
        <w:bottom w:val="single" w:sz="8" w:space="0" w:color="B6FF0E" w:themeColor="accent2" w:themeTint="BF"/>
        <w:right w:val="single" w:sz="8" w:space="0" w:color="B6FF0E" w:themeColor="accent2" w:themeTint="BF"/>
        <w:insideH w:val="single" w:sz="8" w:space="0" w:color="B6FF0E" w:themeColor="accent2" w:themeTint="BF"/>
      </w:tblBorders>
    </w:tblPr>
    <w:tblStylePr w:type="firstRow">
      <w:pPr>
        <w:spacing w:before="0" w:after="0" w:line="240" w:lineRule="auto"/>
      </w:pPr>
      <w:rPr>
        <w:b/>
        <w:bCs/>
        <w:color w:val="FFFFFF" w:themeColor="background1"/>
      </w:rPr>
      <w:tblPr/>
      <w:tcPr>
        <w:tcBorders>
          <w:top w:val="single" w:sz="8" w:space="0" w:color="B6FF0E" w:themeColor="accent2" w:themeTint="BF"/>
          <w:left w:val="single" w:sz="8" w:space="0" w:color="B6FF0E" w:themeColor="accent2" w:themeTint="BF"/>
          <w:bottom w:val="single" w:sz="8" w:space="0" w:color="B6FF0E" w:themeColor="accent2" w:themeTint="BF"/>
          <w:right w:val="single" w:sz="8" w:space="0" w:color="B6FF0E" w:themeColor="accent2" w:themeTint="BF"/>
          <w:insideH w:val="nil"/>
          <w:insideV w:val="nil"/>
        </w:tcBorders>
        <w:shd w:val="clear" w:color="auto" w:fill="84BD00" w:themeFill="accent2"/>
      </w:tcPr>
    </w:tblStylePr>
    <w:tblStylePr w:type="lastRow">
      <w:pPr>
        <w:spacing w:before="0" w:after="0" w:line="240" w:lineRule="auto"/>
      </w:pPr>
      <w:rPr>
        <w:b/>
        <w:bCs/>
      </w:rPr>
      <w:tblPr/>
      <w:tcPr>
        <w:tcBorders>
          <w:top w:val="double" w:sz="6" w:space="0" w:color="B6FF0E" w:themeColor="accent2" w:themeTint="BF"/>
          <w:left w:val="single" w:sz="8" w:space="0" w:color="B6FF0E" w:themeColor="accent2" w:themeTint="BF"/>
          <w:bottom w:val="single" w:sz="8" w:space="0" w:color="B6FF0E" w:themeColor="accent2" w:themeTint="BF"/>
          <w:right w:val="single" w:sz="8" w:space="0" w:color="B6FF0E" w:themeColor="accent2" w:themeTint="BF"/>
          <w:insideH w:val="nil"/>
          <w:insideV w:val="nil"/>
        </w:tcBorders>
      </w:tcPr>
    </w:tblStylePr>
    <w:tblStylePr w:type="firstCol">
      <w:rPr>
        <w:b/>
        <w:bCs/>
      </w:rPr>
    </w:tblStylePr>
    <w:tblStylePr w:type="lastCol">
      <w:rPr>
        <w:b/>
        <w:bCs/>
      </w:rPr>
    </w:tblStylePr>
    <w:tblStylePr w:type="band1Vert">
      <w:tblPr/>
      <w:tcPr>
        <w:shd w:val="clear" w:color="auto" w:fill="E7FFAF" w:themeFill="accent2" w:themeFillTint="3F"/>
      </w:tcPr>
    </w:tblStylePr>
    <w:tblStylePr w:type="band1Horz">
      <w:tblPr/>
      <w:tcPr>
        <w:tcBorders>
          <w:insideH w:val="nil"/>
          <w:insideV w:val="nil"/>
        </w:tcBorders>
        <w:shd w:val="clear" w:color="auto" w:fill="E7FFAF"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9E6ED7"/>
    <w:tblPr>
      <w:tblStyleRowBandSize w:val="1"/>
      <w:tblStyleColBandSize w:val="1"/>
      <w:tblBorders>
        <w:top w:val="single" w:sz="8" w:space="0" w:color="F8A757" w:themeColor="accent3" w:themeTint="BF"/>
        <w:left w:val="single" w:sz="8" w:space="0" w:color="F8A757" w:themeColor="accent3" w:themeTint="BF"/>
        <w:bottom w:val="single" w:sz="8" w:space="0" w:color="F8A757" w:themeColor="accent3" w:themeTint="BF"/>
        <w:right w:val="single" w:sz="8" w:space="0" w:color="F8A757" w:themeColor="accent3" w:themeTint="BF"/>
        <w:insideH w:val="single" w:sz="8" w:space="0" w:color="F8A757" w:themeColor="accent3" w:themeTint="BF"/>
      </w:tblBorders>
    </w:tblPr>
    <w:tblStylePr w:type="firstRow">
      <w:pPr>
        <w:spacing w:before="0" w:after="0" w:line="240" w:lineRule="auto"/>
      </w:pPr>
      <w:rPr>
        <w:b/>
        <w:bCs/>
        <w:color w:val="FFFFFF" w:themeColor="background1"/>
      </w:rPr>
      <w:tblPr/>
      <w:tcPr>
        <w:tcBorders>
          <w:top w:val="single" w:sz="8" w:space="0" w:color="F8A757" w:themeColor="accent3" w:themeTint="BF"/>
          <w:left w:val="single" w:sz="8" w:space="0" w:color="F8A757" w:themeColor="accent3" w:themeTint="BF"/>
          <w:bottom w:val="single" w:sz="8" w:space="0" w:color="F8A757" w:themeColor="accent3" w:themeTint="BF"/>
          <w:right w:val="single" w:sz="8" w:space="0" w:color="F8A757" w:themeColor="accent3" w:themeTint="BF"/>
          <w:insideH w:val="nil"/>
          <w:insideV w:val="nil"/>
        </w:tcBorders>
        <w:shd w:val="clear" w:color="auto" w:fill="F68B1F" w:themeFill="accent3"/>
      </w:tcPr>
    </w:tblStylePr>
    <w:tblStylePr w:type="lastRow">
      <w:pPr>
        <w:spacing w:before="0" w:after="0" w:line="240" w:lineRule="auto"/>
      </w:pPr>
      <w:rPr>
        <w:b/>
        <w:bCs/>
      </w:rPr>
      <w:tblPr/>
      <w:tcPr>
        <w:tcBorders>
          <w:top w:val="double" w:sz="6" w:space="0" w:color="F8A757" w:themeColor="accent3" w:themeTint="BF"/>
          <w:left w:val="single" w:sz="8" w:space="0" w:color="F8A757" w:themeColor="accent3" w:themeTint="BF"/>
          <w:bottom w:val="single" w:sz="8" w:space="0" w:color="F8A757" w:themeColor="accent3" w:themeTint="BF"/>
          <w:right w:val="single" w:sz="8" w:space="0" w:color="F8A757" w:themeColor="accent3" w:themeTint="BF"/>
          <w:insideH w:val="nil"/>
          <w:insideV w:val="nil"/>
        </w:tcBorders>
      </w:tcPr>
    </w:tblStylePr>
    <w:tblStylePr w:type="firstCol">
      <w:rPr>
        <w:b/>
        <w:bCs/>
      </w:rPr>
    </w:tblStylePr>
    <w:tblStylePr w:type="lastCol">
      <w:rPr>
        <w:b/>
        <w:bCs/>
      </w:rPr>
    </w:tblStylePr>
    <w:tblStylePr w:type="band1Vert">
      <w:tblPr/>
      <w:tcPr>
        <w:shd w:val="clear" w:color="auto" w:fill="FCE2C7" w:themeFill="accent3" w:themeFillTint="3F"/>
      </w:tcPr>
    </w:tblStylePr>
    <w:tblStylePr w:type="band1Horz">
      <w:tblPr/>
      <w:tcPr>
        <w:tcBorders>
          <w:insideH w:val="nil"/>
          <w:insideV w:val="nil"/>
        </w:tcBorders>
        <w:shd w:val="clear" w:color="auto" w:fill="FCE2C7"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9E6ED7"/>
    <w:tblPr>
      <w:tblStyleRowBandSize w:val="1"/>
      <w:tblStyleColBandSize w:val="1"/>
      <w:tblBorders>
        <w:top w:val="single" w:sz="8" w:space="0" w:color="F600C4" w:themeColor="accent4" w:themeTint="BF"/>
        <w:left w:val="single" w:sz="8" w:space="0" w:color="F600C4" w:themeColor="accent4" w:themeTint="BF"/>
        <w:bottom w:val="single" w:sz="8" w:space="0" w:color="F600C4" w:themeColor="accent4" w:themeTint="BF"/>
        <w:right w:val="single" w:sz="8" w:space="0" w:color="F600C4" w:themeColor="accent4" w:themeTint="BF"/>
        <w:insideH w:val="single" w:sz="8" w:space="0" w:color="F600C4" w:themeColor="accent4" w:themeTint="BF"/>
      </w:tblBorders>
    </w:tblPr>
    <w:tblStylePr w:type="firstRow">
      <w:pPr>
        <w:spacing w:before="0" w:after="0" w:line="240" w:lineRule="auto"/>
      </w:pPr>
      <w:rPr>
        <w:b/>
        <w:bCs/>
        <w:color w:val="FFFFFF" w:themeColor="background1"/>
      </w:rPr>
      <w:tblPr/>
      <w:tcPr>
        <w:tcBorders>
          <w:top w:val="single" w:sz="8" w:space="0" w:color="F600C4" w:themeColor="accent4" w:themeTint="BF"/>
          <w:left w:val="single" w:sz="8" w:space="0" w:color="F600C4" w:themeColor="accent4" w:themeTint="BF"/>
          <w:bottom w:val="single" w:sz="8" w:space="0" w:color="F600C4" w:themeColor="accent4" w:themeTint="BF"/>
          <w:right w:val="single" w:sz="8" w:space="0" w:color="F600C4" w:themeColor="accent4" w:themeTint="BF"/>
          <w:insideH w:val="nil"/>
          <w:insideV w:val="nil"/>
        </w:tcBorders>
        <w:shd w:val="clear" w:color="auto" w:fill="9E007E" w:themeFill="accent4"/>
      </w:tcPr>
    </w:tblStylePr>
    <w:tblStylePr w:type="lastRow">
      <w:pPr>
        <w:spacing w:before="0" w:after="0" w:line="240" w:lineRule="auto"/>
      </w:pPr>
      <w:rPr>
        <w:b/>
        <w:bCs/>
      </w:rPr>
      <w:tblPr/>
      <w:tcPr>
        <w:tcBorders>
          <w:top w:val="double" w:sz="6" w:space="0" w:color="F600C4" w:themeColor="accent4" w:themeTint="BF"/>
          <w:left w:val="single" w:sz="8" w:space="0" w:color="F600C4" w:themeColor="accent4" w:themeTint="BF"/>
          <w:bottom w:val="single" w:sz="8" w:space="0" w:color="F600C4" w:themeColor="accent4" w:themeTint="BF"/>
          <w:right w:val="single" w:sz="8" w:space="0" w:color="F600C4"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A8ED" w:themeFill="accent4" w:themeFillTint="3F"/>
      </w:tcPr>
    </w:tblStylePr>
    <w:tblStylePr w:type="band1Horz">
      <w:tblPr/>
      <w:tcPr>
        <w:tcBorders>
          <w:insideH w:val="nil"/>
          <w:insideV w:val="nil"/>
        </w:tcBorders>
        <w:shd w:val="clear" w:color="auto" w:fill="FFA8ED"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9E6ED7"/>
    <w:tblPr>
      <w:tblStyleRowBandSize w:val="1"/>
      <w:tblStyleColBandSize w:val="1"/>
      <w:tblBorders>
        <w:top w:val="single" w:sz="8" w:space="0" w:color="FFEB4D" w:themeColor="accent5" w:themeTint="BF"/>
        <w:left w:val="single" w:sz="8" w:space="0" w:color="FFEB4D" w:themeColor="accent5" w:themeTint="BF"/>
        <w:bottom w:val="single" w:sz="8" w:space="0" w:color="FFEB4D" w:themeColor="accent5" w:themeTint="BF"/>
        <w:right w:val="single" w:sz="8" w:space="0" w:color="FFEB4D" w:themeColor="accent5" w:themeTint="BF"/>
        <w:insideH w:val="single" w:sz="8" w:space="0" w:color="FFEB4D" w:themeColor="accent5" w:themeTint="BF"/>
      </w:tblBorders>
    </w:tblPr>
    <w:tblStylePr w:type="firstRow">
      <w:pPr>
        <w:spacing w:before="0" w:after="0" w:line="240" w:lineRule="auto"/>
      </w:pPr>
      <w:rPr>
        <w:b/>
        <w:bCs/>
        <w:color w:val="FFFFFF" w:themeColor="background1"/>
      </w:rPr>
      <w:tblPr/>
      <w:tcPr>
        <w:tcBorders>
          <w:top w:val="single" w:sz="8" w:space="0" w:color="FFEB4D" w:themeColor="accent5" w:themeTint="BF"/>
          <w:left w:val="single" w:sz="8" w:space="0" w:color="FFEB4D" w:themeColor="accent5" w:themeTint="BF"/>
          <w:bottom w:val="single" w:sz="8" w:space="0" w:color="FFEB4D" w:themeColor="accent5" w:themeTint="BF"/>
          <w:right w:val="single" w:sz="8" w:space="0" w:color="FFEB4D" w:themeColor="accent5" w:themeTint="BF"/>
          <w:insideH w:val="nil"/>
          <w:insideV w:val="nil"/>
        </w:tcBorders>
        <w:shd w:val="clear" w:color="auto" w:fill="FFE512" w:themeFill="accent5"/>
      </w:tcPr>
    </w:tblStylePr>
    <w:tblStylePr w:type="lastRow">
      <w:pPr>
        <w:spacing w:before="0" w:after="0" w:line="240" w:lineRule="auto"/>
      </w:pPr>
      <w:rPr>
        <w:b/>
        <w:bCs/>
      </w:rPr>
      <w:tblPr/>
      <w:tcPr>
        <w:tcBorders>
          <w:top w:val="double" w:sz="6" w:space="0" w:color="FFEB4D" w:themeColor="accent5" w:themeTint="BF"/>
          <w:left w:val="single" w:sz="8" w:space="0" w:color="FFEB4D" w:themeColor="accent5" w:themeTint="BF"/>
          <w:bottom w:val="single" w:sz="8" w:space="0" w:color="FFEB4D" w:themeColor="accent5" w:themeTint="BF"/>
          <w:right w:val="single" w:sz="8" w:space="0" w:color="FFEB4D" w:themeColor="accent5" w:themeTint="BF"/>
          <w:insideH w:val="nil"/>
          <w:insideV w:val="nil"/>
        </w:tcBorders>
      </w:tcPr>
    </w:tblStylePr>
    <w:tblStylePr w:type="firstCol">
      <w:rPr>
        <w:b/>
        <w:bCs/>
      </w:rPr>
    </w:tblStylePr>
    <w:tblStylePr w:type="lastCol">
      <w:rPr>
        <w:b/>
        <w:bCs/>
      </w:rPr>
    </w:tblStylePr>
    <w:tblStylePr w:type="band1Vert">
      <w:tblPr/>
      <w:tcPr>
        <w:shd w:val="clear" w:color="auto" w:fill="FFF8C4" w:themeFill="accent5" w:themeFillTint="3F"/>
      </w:tcPr>
    </w:tblStylePr>
    <w:tblStylePr w:type="band1Horz">
      <w:tblPr/>
      <w:tcPr>
        <w:tcBorders>
          <w:insideH w:val="nil"/>
          <w:insideV w:val="nil"/>
        </w:tcBorders>
        <w:shd w:val="clear" w:color="auto" w:fill="FFF8C4"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9E6ED7"/>
    <w:tblPr>
      <w:tblStyleRowBandSize w:val="1"/>
      <w:tblStyleColBandSize w:val="1"/>
      <w:tblBorders>
        <w:top w:val="single" w:sz="8" w:space="0" w:color="A8A19A" w:themeColor="accent6" w:themeTint="BF"/>
        <w:left w:val="single" w:sz="8" w:space="0" w:color="A8A19A" w:themeColor="accent6" w:themeTint="BF"/>
        <w:bottom w:val="single" w:sz="8" w:space="0" w:color="A8A19A" w:themeColor="accent6" w:themeTint="BF"/>
        <w:right w:val="single" w:sz="8" w:space="0" w:color="A8A19A" w:themeColor="accent6" w:themeTint="BF"/>
        <w:insideH w:val="single" w:sz="8" w:space="0" w:color="A8A19A" w:themeColor="accent6" w:themeTint="BF"/>
      </w:tblBorders>
    </w:tblPr>
    <w:tblStylePr w:type="firstRow">
      <w:pPr>
        <w:spacing w:before="0" w:after="0" w:line="240" w:lineRule="auto"/>
      </w:pPr>
      <w:rPr>
        <w:b/>
        <w:bCs/>
        <w:color w:val="FFFFFF" w:themeColor="background1"/>
      </w:rPr>
      <w:tblPr/>
      <w:tcPr>
        <w:tcBorders>
          <w:top w:val="single" w:sz="8" w:space="0" w:color="A8A19A" w:themeColor="accent6" w:themeTint="BF"/>
          <w:left w:val="single" w:sz="8" w:space="0" w:color="A8A19A" w:themeColor="accent6" w:themeTint="BF"/>
          <w:bottom w:val="single" w:sz="8" w:space="0" w:color="A8A19A" w:themeColor="accent6" w:themeTint="BF"/>
          <w:right w:val="single" w:sz="8" w:space="0" w:color="A8A19A" w:themeColor="accent6" w:themeTint="BF"/>
          <w:insideH w:val="nil"/>
          <w:insideV w:val="nil"/>
        </w:tcBorders>
        <w:shd w:val="clear" w:color="auto" w:fill="8C8279" w:themeFill="accent6"/>
      </w:tcPr>
    </w:tblStylePr>
    <w:tblStylePr w:type="lastRow">
      <w:pPr>
        <w:spacing w:before="0" w:after="0" w:line="240" w:lineRule="auto"/>
      </w:pPr>
      <w:rPr>
        <w:b/>
        <w:bCs/>
      </w:rPr>
      <w:tblPr/>
      <w:tcPr>
        <w:tcBorders>
          <w:top w:val="double" w:sz="6" w:space="0" w:color="A8A19A" w:themeColor="accent6" w:themeTint="BF"/>
          <w:left w:val="single" w:sz="8" w:space="0" w:color="A8A19A" w:themeColor="accent6" w:themeTint="BF"/>
          <w:bottom w:val="single" w:sz="8" w:space="0" w:color="A8A19A" w:themeColor="accent6" w:themeTint="BF"/>
          <w:right w:val="single" w:sz="8" w:space="0" w:color="A8A19A" w:themeColor="accent6" w:themeTint="BF"/>
          <w:insideH w:val="nil"/>
          <w:insideV w:val="nil"/>
        </w:tcBorders>
      </w:tcPr>
    </w:tblStylePr>
    <w:tblStylePr w:type="firstCol">
      <w:rPr>
        <w:b/>
        <w:bCs/>
      </w:rPr>
    </w:tblStylePr>
    <w:tblStylePr w:type="lastCol">
      <w:rPr>
        <w:b/>
        <w:bCs/>
      </w:rPr>
    </w:tblStylePr>
    <w:tblStylePr w:type="band1Vert">
      <w:tblPr/>
      <w:tcPr>
        <w:shd w:val="clear" w:color="auto" w:fill="E2E0DD" w:themeFill="accent6" w:themeFillTint="3F"/>
      </w:tcPr>
    </w:tblStylePr>
    <w:tblStylePr w:type="band1Horz">
      <w:tblPr/>
      <w:tcPr>
        <w:tcBorders>
          <w:insideH w:val="nil"/>
          <w:insideV w:val="nil"/>
        </w:tcBorders>
        <w:shd w:val="clear" w:color="auto" w:fill="E2E0DD"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B5E2"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B5E2" w:themeFill="accent1"/>
      </w:tcPr>
    </w:tblStylePr>
    <w:tblStylePr w:type="lastCol">
      <w:rPr>
        <w:b/>
        <w:bCs/>
        <w:color w:val="FFFFFF" w:themeColor="background1"/>
      </w:rPr>
      <w:tblPr/>
      <w:tcPr>
        <w:tcBorders>
          <w:left w:val="nil"/>
          <w:right w:val="nil"/>
          <w:insideH w:val="nil"/>
          <w:insideV w:val="nil"/>
        </w:tcBorders>
        <w:shd w:val="clear" w:color="auto" w:fill="00B5E2"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4BD0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4BD00" w:themeFill="accent2"/>
      </w:tcPr>
    </w:tblStylePr>
    <w:tblStylePr w:type="lastCol">
      <w:rPr>
        <w:b/>
        <w:bCs/>
        <w:color w:val="FFFFFF" w:themeColor="background1"/>
      </w:rPr>
      <w:tblPr/>
      <w:tcPr>
        <w:tcBorders>
          <w:left w:val="nil"/>
          <w:right w:val="nil"/>
          <w:insideH w:val="nil"/>
          <w:insideV w:val="nil"/>
        </w:tcBorders>
        <w:shd w:val="clear" w:color="auto" w:fill="84BD0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68B1F"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68B1F" w:themeFill="accent3"/>
      </w:tcPr>
    </w:tblStylePr>
    <w:tblStylePr w:type="lastCol">
      <w:rPr>
        <w:b/>
        <w:bCs/>
        <w:color w:val="FFFFFF" w:themeColor="background1"/>
      </w:rPr>
      <w:tblPr/>
      <w:tcPr>
        <w:tcBorders>
          <w:left w:val="nil"/>
          <w:right w:val="nil"/>
          <w:insideH w:val="nil"/>
          <w:insideV w:val="nil"/>
        </w:tcBorders>
        <w:shd w:val="clear" w:color="auto" w:fill="F68B1F"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E007E"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E007E" w:themeFill="accent4"/>
      </w:tcPr>
    </w:tblStylePr>
    <w:tblStylePr w:type="lastCol">
      <w:rPr>
        <w:b/>
        <w:bCs/>
        <w:color w:val="FFFFFF" w:themeColor="background1"/>
      </w:rPr>
      <w:tblPr/>
      <w:tcPr>
        <w:tcBorders>
          <w:left w:val="nil"/>
          <w:right w:val="nil"/>
          <w:insideH w:val="nil"/>
          <w:insideV w:val="nil"/>
        </w:tcBorders>
        <w:shd w:val="clear" w:color="auto" w:fill="9E007E"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E512"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E512" w:themeFill="accent5"/>
      </w:tcPr>
    </w:tblStylePr>
    <w:tblStylePr w:type="lastCol">
      <w:rPr>
        <w:b/>
        <w:bCs/>
        <w:color w:val="FFFFFF" w:themeColor="background1"/>
      </w:rPr>
      <w:tblPr/>
      <w:tcPr>
        <w:tcBorders>
          <w:left w:val="nil"/>
          <w:right w:val="nil"/>
          <w:insideH w:val="nil"/>
          <w:insideV w:val="nil"/>
        </w:tcBorders>
        <w:shd w:val="clear" w:color="auto" w:fill="FFE512"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unhideWhenUsed/>
    <w:rsid w:val="009E6ED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C8279"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C8279" w:themeFill="accent6"/>
      </w:tcPr>
    </w:tblStylePr>
    <w:tblStylePr w:type="lastCol">
      <w:rPr>
        <w:b/>
        <w:bCs/>
        <w:color w:val="FFFFFF" w:themeColor="background1"/>
      </w:rPr>
      <w:tblPr/>
      <w:tcPr>
        <w:tcBorders>
          <w:left w:val="nil"/>
          <w:right w:val="nil"/>
          <w:insideH w:val="nil"/>
          <w:insideV w:val="nil"/>
        </w:tcBorders>
        <w:shd w:val="clear" w:color="auto" w:fill="8C8279"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3Deffects1">
    <w:name w:val="Table 3D effects 1"/>
    <w:basedOn w:val="TableNormal"/>
    <w:uiPriority w:val="99"/>
    <w:semiHidden/>
    <w:unhideWhenUsed/>
    <w:rsid w:val="009E6ED7"/>
    <w:pPr>
      <w:spacing w:line="24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9E6ED7"/>
    <w:pPr>
      <w:spacing w:line="24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9E6ED7"/>
    <w:pPr>
      <w:spacing w:line="24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9E6ED7"/>
    <w:pPr>
      <w:spacing w:line="24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9E6ED7"/>
    <w:pPr>
      <w:spacing w:line="24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9E6ED7"/>
    <w:pPr>
      <w:spacing w:line="24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9E6ED7"/>
    <w:pPr>
      <w:spacing w:line="24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9E6ED7"/>
    <w:pPr>
      <w:spacing w:line="24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9E6ED7"/>
    <w:pPr>
      <w:spacing w:line="24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9E6ED7"/>
    <w:pPr>
      <w:spacing w:line="24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9E6ED7"/>
    <w:pPr>
      <w:spacing w:line="24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9E6ED7"/>
    <w:pPr>
      <w:spacing w:line="24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9E6ED7"/>
    <w:pPr>
      <w:spacing w:line="24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9E6ED7"/>
    <w:pPr>
      <w:spacing w:line="24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9E6ED7"/>
    <w:pPr>
      <w:spacing w:line="24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9E6ED7"/>
    <w:pPr>
      <w:spacing w:line="24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9E6ED7"/>
    <w:pPr>
      <w:spacing w:line="24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9E6ED7"/>
    <w:pPr>
      <w:spacing w:line="24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9E6ED7"/>
    <w:pPr>
      <w:spacing w:line="24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9E6ED7"/>
    <w:pPr>
      <w:spacing w:line="24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9E6ED7"/>
    <w:pPr>
      <w:spacing w:line="24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9E6ED7"/>
    <w:pPr>
      <w:spacing w:line="24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unhideWhenUsed/>
    <w:rsid w:val="009E6ED7"/>
    <w:pPr>
      <w:spacing w:line="24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9E6ED7"/>
    <w:pPr>
      <w:spacing w:line="24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9E6ED7"/>
    <w:pPr>
      <w:spacing w:line="24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9E6ED7"/>
    <w:pPr>
      <w:spacing w:line="24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9E6ED7"/>
    <w:pPr>
      <w:spacing w:line="24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9E6ED7"/>
    <w:pPr>
      <w:spacing w:line="24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unhideWhenUsed/>
    <w:rsid w:val="009E6ED7"/>
    <w:pPr>
      <w:spacing w:line="24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9E6ED7"/>
    <w:pPr>
      <w:spacing w:line="24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9E6ED7"/>
    <w:pPr>
      <w:spacing w:line="24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9E6ED7"/>
    <w:pPr>
      <w:spacing w:line="24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9E6ED7"/>
    <w:pPr>
      <w:spacing w:line="24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9E6ED7"/>
    <w:pPr>
      <w:spacing w:line="24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9E6ED7"/>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9E6ED7"/>
    <w:pPr>
      <w:spacing w:line="24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9E6ED7"/>
    <w:pPr>
      <w:spacing w:line="24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9E6ED7"/>
    <w:pPr>
      <w:spacing w:line="24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Header">
    <w:name w:val="header"/>
    <w:basedOn w:val="Normal"/>
    <w:link w:val="HeaderChar"/>
    <w:uiPriority w:val="99"/>
    <w:unhideWhenUsed/>
    <w:rsid w:val="007F6341"/>
    <w:pPr>
      <w:tabs>
        <w:tab w:val="center" w:pos="4513"/>
        <w:tab w:val="right" w:pos="9026"/>
      </w:tabs>
      <w:spacing w:line="240" w:lineRule="auto"/>
    </w:pPr>
    <w:rPr>
      <w:noProof/>
      <w:sz w:val="14"/>
    </w:rPr>
  </w:style>
  <w:style w:type="character" w:customStyle="1" w:styleId="HeaderChar">
    <w:name w:val="Header Char"/>
    <w:basedOn w:val="DefaultParagraphFont"/>
    <w:link w:val="Header"/>
    <w:uiPriority w:val="99"/>
    <w:rsid w:val="00F66A91"/>
    <w:rPr>
      <w:noProof/>
      <w:kern w:val="18"/>
      <w:sz w:val="14"/>
    </w:rPr>
  </w:style>
  <w:style w:type="paragraph" w:styleId="Footer">
    <w:name w:val="footer"/>
    <w:basedOn w:val="Normal"/>
    <w:link w:val="FooterChar"/>
    <w:uiPriority w:val="99"/>
    <w:unhideWhenUsed/>
    <w:rsid w:val="007F6341"/>
    <w:pPr>
      <w:tabs>
        <w:tab w:val="center" w:pos="4513"/>
        <w:tab w:val="right" w:pos="9026"/>
      </w:tabs>
      <w:spacing w:line="240" w:lineRule="auto"/>
    </w:pPr>
    <w:rPr>
      <w:noProof/>
      <w:sz w:val="14"/>
    </w:rPr>
  </w:style>
  <w:style w:type="character" w:customStyle="1" w:styleId="FooterChar">
    <w:name w:val="Footer Char"/>
    <w:basedOn w:val="DefaultParagraphFont"/>
    <w:link w:val="Footer"/>
    <w:uiPriority w:val="99"/>
    <w:rsid w:val="00F66A91"/>
    <w:rPr>
      <w:noProof/>
      <w:kern w:val="18"/>
      <w:sz w:val="14"/>
    </w:rPr>
  </w:style>
  <w:style w:type="numbering" w:customStyle="1" w:styleId="AECOMNumbering">
    <w:name w:val="AECOM Numbering"/>
    <w:basedOn w:val="NoList"/>
    <w:uiPriority w:val="99"/>
    <w:semiHidden/>
    <w:unhideWhenUsed/>
    <w:rsid w:val="00FF093C"/>
    <w:pPr>
      <w:numPr>
        <w:numId w:val="7"/>
      </w:numPr>
    </w:pPr>
  </w:style>
  <w:style w:type="numbering" w:customStyle="1" w:styleId="AECOMAppendix">
    <w:name w:val="AECOM Appendix"/>
    <w:uiPriority w:val="99"/>
    <w:semiHidden/>
    <w:unhideWhenUsed/>
    <w:rsid w:val="006A3705"/>
    <w:pPr>
      <w:numPr>
        <w:numId w:val="8"/>
      </w:numPr>
    </w:pPr>
  </w:style>
  <w:style w:type="character" w:customStyle="1" w:styleId="Heading6Char">
    <w:name w:val="Heading 6 Char"/>
    <w:basedOn w:val="DefaultParagraphFont"/>
    <w:link w:val="Heading6"/>
    <w:uiPriority w:val="9"/>
    <w:semiHidden/>
    <w:rsid w:val="00F66A91"/>
    <w:rPr>
      <w:rFonts w:asciiTheme="majorHAnsi" w:eastAsiaTheme="majorEastAsia" w:hAnsiTheme="majorHAnsi" w:cstheme="majorBidi"/>
      <w:i/>
      <w:iCs/>
      <w:color w:val="005970" w:themeColor="accent1" w:themeShade="7F"/>
      <w:kern w:val="18"/>
      <w:sz w:val="20"/>
      <w:lang w:val="en-US"/>
    </w:rPr>
  </w:style>
  <w:style w:type="character" w:customStyle="1" w:styleId="Heading7Char">
    <w:name w:val="Heading 7 Char"/>
    <w:basedOn w:val="DefaultParagraphFont"/>
    <w:link w:val="Heading7"/>
    <w:uiPriority w:val="9"/>
    <w:semiHidden/>
    <w:rsid w:val="00F66A91"/>
    <w:rPr>
      <w:rFonts w:asciiTheme="majorHAnsi" w:eastAsiaTheme="majorEastAsia" w:hAnsiTheme="majorHAnsi" w:cstheme="majorBidi"/>
      <w:i/>
      <w:iCs/>
      <w:color w:val="404040" w:themeColor="text1" w:themeTint="BF"/>
      <w:kern w:val="18"/>
      <w:sz w:val="20"/>
      <w:lang w:val="en-US"/>
    </w:rPr>
  </w:style>
  <w:style w:type="character" w:customStyle="1" w:styleId="Heading8Char">
    <w:name w:val="Heading 8 Char"/>
    <w:basedOn w:val="DefaultParagraphFont"/>
    <w:link w:val="Heading8"/>
    <w:uiPriority w:val="9"/>
    <w:semiHidden/>
    <w:rsid w:val="00F66A91"/>
    <w:rPr>
      <w:rFonts w:asciiTheme="majorHAnsi" w:eastAsiaTheme="majorEastAsia" w:hAnsiTheme="majorHAnsi" w:cstheme="majorBidi"/>
      <w:color w:val="404040" w:themeColor="text1" w:themeTint="BF"/>
      <w:kern w:val="18"/>
      <w:sz w:val="20"/>
      <w:szCs w:val="20"/>
      <w:lang w:val="en-US"/>
    </w:rPr>
  </w:style>
  <w:style w:type="character" w:customStyle="1" w:styleId="Heading9Char">
    <w:name w:val="Heading 9 Char"/>
    <w:basedOn w:val="DefaultParagraphFont"/>
    <w:link w:val="Heading9"/>
    <w:uiPriority w:val="9"/>
    <w:rsid w:val="00F66A91"/>
    <w:rPr>
      <w:rFonts w:asciiTheme="majorHAnsi" w:eastAsiaTheme="majorEastAsia" w:hAnsiTheme="majorHAnsi" w:cstheme="majorBidi"/>
      <w:i/>
      <w:iCs/>
      <w:color w:val="404040" w:themeColor="text1" w:themeTint="BF"/>
      <w:kern w:val="18"/>
      <w:sz w:val="20"/>
      <w:szCs w:val="20"/>
      <w:lang w:val="en-US"/>
    </w:rPr>
  </w:style>
  <w:style w:type="table" w:customStyle="1" w:styleId="Plaingrid">
    <w:name w:val="Plain grid"/>
    <w:basedOn w:val="TableNormal"/>
    <w:uiPriority w:val="99"/>
    <w:semiHidden/>
    <w:unhideWhenUsed/>
    <w:rsid w:val="00E772F5"/>
    <w:tblPr>
      <w:tblCellMar>
        <w:left w:w="0" w:type="dxa"/>
      </w:tblCellMar>
    </w:tblPr>
  </w:style>
  <w:style w:type="paragraph" w:styleId="Title">
    <w:name w:val="Title"/>
    <w:basedOn w:val="Normal"/>
    <w:next w:val="Normal"/>
    <w:link w:val="TitleChar"/>
    <w:uiPriority w:val="10"/>
    <w:semiHidden/>
    <w:unhideWhenUsed/>
    <w:rsid w:val="00AA75D4"/>
    <w:pPr>
      <w:spacing w:after="300" w:line="240" w:lineRule="auto"/>
      <w:contextualSpacing/>
    </w:pPr>
    <w:rPr>
      <w:rFonts w:asciiTheme="majorHAnsi" w:eastAsiaTheme="majorEastAsia" w:hAnsiTheme="majorHAnsi" w:cstheme="majorBidi"/>
      <w:color w:val="FFFFFF" w:themeColor="background1"/>
      <w:kern w:val="28"/>
      <w:sz w:val="48"/>
      <w:szCs w:val="52"/>
    </w:rPr>
  </w:style>
  <w:style w:type="character" w:customStyle="1" w:styleId="TitleChar">
    <w:name w:val="Title Char"/>
    <w:basedOn w:val="DefaultParagraphFont"/>
    <w:link w:val="Title"/>
    <w:uiPriority w:val="10"/>
    <w:semiHidden/>
    <w:rsid w:val="00F66A91"/>
    <w:rPr>
      <w:rFonts w:asciiTheme="majorHAnsi" w:eastAsiaTheme="majorEastAsia" w:hAnsiTheme="majorHAnsi" w:cstheme="majorBidi"/>
      <w:color w:val="FFFFFF" w:themeColor="background1"/>
      <w:kern w:val="28"/>
      <w:sz w:val="48"/>
      <w:szCs w:val="52"/>
    </w:rPr>
  </w:style>
  <w:style w:type="paragraph" w:styleId="TOCHeading">
    <w:name w:val="TOC Heading"/>
    <w:basedOn w:val="Heading1"/>
    <w:next w:val="Normal"/>
    <w:uiPriority w:val="39"/>
    <w:semiHidden/>
    <w:unhideWhenUsed/>
    <w:rsid w:val="000D13AF"/>
    <w:pPr>
      <w:numPr>
        <w:numId w:val="0"/>
      </w:numPr>
      <w:spacing w:line="240" w:lineRule="atLeast"/>
      <w:outlineLvl w:val="9"/>
    </w:pPr>
    <w:rPr>
      <w:sz w:val="28"/>
    </w:rPr>
  </w:style>
  <w:style w:type="paragraph" w:styleId="Subtitle">
    <w:name w:val="Subtitle"/>
    <w:basedOn w:val="Normal"/>
    <w:next w:val="Normal"/>
    <w:link w:val="SubtitleChar"/>
    <w:uiPriority w:val="11"/>
    <w:semiHidden/>
    <w:unhideWhenUsed/>
    <w:rsid w:val="00AA75D4"/>
    <w:pPr>
      <w:numPr>
        <w:ilvl w:val="1"/>
      </w:numPr>
    </w:pPr>
    <w:rPr>
      <w:rFonts w:asciiTheme="majorHAnsi" w:eastAsiaTheme="majorEastAsia" w:hAnsiTheme="majorHAnsi" w:cstheme="majorBidi"/>
      <w:iCs/>
      <w:color w:val="FFFFFF" w:themeColor="background1"/>
      <w:sz w:val="24"/>
      <w:szCs w:val="24"/>
    </w:rPr>
  </w:style>
  <w:style w:type="character" w:customStyle="1" w:styleId="SubtitleChar">
    <w:name w:val="Subtitle Char"/>
    <w:basedOn w:val="DefaultParagraphFont"/>
    <w:link w:val="Subtitle"/>
    <w:uiPriority w:val="11"/>
    <w:semiHidden/>
    <w:rsid w:val="00F66A91"/>
    <w:rPr>
      <w:rFonts w:asciiTheme="majorHAnsi" w:eastAsiaTheme="majorEastAsia" w:hAnsiTheme="majorHAnsi" w:cstheme="majorBidi"/>
      <w:iCs/>
      <w:color w:val="FFFFFF" w:themeColor="background1"/>
      <w:kern w:val="18"/>
      <w:sz w:val="24"/>
      <w:szCs w:val="24"/>
    </w:rPr>
  </w:style>
  <w:style w:type="paragraph" w:styleId="TOC1">
    <w:name w:val="toc 1"/>
    <w:basedOn w:val="Normal"/>
    <w:next w:val="Normal"/>
    <w:autoRedefine/>
    <w:uiPriority w:val="39"/>
    <w:unhideWhenUsed/>
    <w:rsid w:val="003964F2"/>
    <w:pPr>
      <w:tabs>
        <w:tab w:val="clear" w:pos="284"/>
        <w:tab w:val="right" w:leader="dot" w:pos="9360"/>
      </w:tabs>
      <w:spacing w:after="40"/>
      <w:ind w:left="567" w:right="522" w:hanging="567"/>
    </w:pPr>
    <w:rPr>
      <w:rFonts w:asciiTheme="majorHAnsi" w:hAnsiTheme="majorHAnsi"/>
    </w:rPr>
  </w:style>
  <w:style w:type="paragraph" w:styleId="TOC2">
    <w:name w:val="toc 2"/>
    <w:basedOn w:val="Normal"/>
    <w:next w:val="Normal"/>
    <w:autoRedefine/>
    <w:uiPriority w:val="39"/>
    <w:unhideWhenUsed/>
    <w:rsid w:val="003964F2"/>
    <w:pPr>
      <w:tabs>
        <w:tab w:val="clear" w:pos="284"/>
        <w:tab w:val="right" w:leader="dot" w:pos="9360"/>
      </w:tabs>
      <w:spacing w:after="40"/>
      <w:ind w:left="1134" w:right="522" w:hanging="567"/>
    </w:pPr>
  </w:style>
  <w:style w:type="paragraph" w:styleId="TOC3">
    <w:name w:val="toc 3"/>
    <w:basedOn w:val="Normal"/>
    <w:next w:val="Normal"/>
    <w:autoRedefine/>
    <w:uiPriority w:val="39"/>
    <w:unhideWhenUsed/>
    <w:rsid w:val="003964F2"/>
    <w:pPr>
      <w:tabs>
        <w:tab w:val="clear" w:pos="284"/>
        <w:tab w:val="right" w:leader="dot" w:pos="9360"/>
      </w:tabs>
      <w:spacing w:after="40"/>
      <w:ind w:left="1134" w:hanging="567"/>
    </w:pPr>
  </w:style>
  <w:style w:type="paragraph" w:customStyle="1" w:styleId="Coverdata">
    <w:name w:val="Cover data"/>
    <w:basedOn w:val="Subtitle"/>
    <w:uiPriority w:val="1"/>
    <w:semiHidden/>
    <w:unhideWhenUsed/>
    <w:rsid w:val="00DA79BC"/>
    <w:pPr>
      <w:jc w:val="right"/>
    </w:pPr>
    <w:rPr>
      <w:sz w:val="16"/>
    </w:rPr>
  </w:style>
  <w:style w:type="paragraph" w:customStyle="1" w:styleId="Coverfooter">
    <w:name w:val="Cover footer"/>
    <w:basedOn w:val="Coverdata"/>
    <w:uiPriority w:val="1"/>
    <w:semiHidden/>
    <w:unhideWhenUsed/>
    <w:rsid w:val="00B97816"/>
    <w:pPr>
      <w:spacing w:line="200" w:lineRule="atLeast"/>
      <w:jc w:val="left"/>
    </w:pPr>
    <w:rPr>
      <w:rFonts w:asciiTheme="minorHAnsi" w:hAnsiTheme="minorHAnsi"/>
    </w:rPr>
  </w:style>
  <w:style w:type="paragraph" w:customStyle="1" w:styleId="Subtitleheading">
    <w:name w:val="Subtitle heading"/>
    <w:basedOn w:val="Subtitle"/>
    <w:uiPriority w:val="1"/>
    <w:semiHidden/>
    <w:unhideWhenUsed/>
    <w:rsid w:val="00AA75D4"/>
  </w:style>
  <w:style w:type="character" w:styleId="Strong">
    <w:name w:val="Strong"/>
    <w:basedOn w:val="DefaultParagraphFont"/>
    <w:uiPriority w:val="22"/>
    <w:semiHidden/>
    <w:unhideWhenUsed/>
    <w:rsid w:val="00542F08"/>
    <w:rPr>
      <w:b/>
      <w:bCs/>
    </w:rPr>
  </w:style>
  <w:style w:type="paragraph" w:styleId="CommentText">
    <w:name w:val="annotation text"/>
    <w:basedOn w:val="Normal"/>
    <w:link w:val="CommentTextChar"/>
    <w:uiPriority w:val="99"/>
    <w:semiHidden/>
    <w:unhideWhenUsed/>
    <w:rsid w:val="00542F08"/>
    <w:pPr>
      <w:spacing w:line="240" w:lineRule="auto"/>
    </w:pPr>
    <w:rPr>
      <w:szCs w:val="20"/>
    </w:rPr>
  </w:style>
  <w:style w:type="character" w:customStyle="1" w:styleId="CommentTextChar">
    <w:name w:val="Comment Text Char"/>
    <w:basedOn w:val="DefaultParagraphFont"/>
    <w:link w:val="CommentText"/>
    <w:uiPriority w:val="99"/>
    <w:semiHidden/>
    <w:rsid w:val="00F66A91"/>
    <w:rPr>
      <w:kern w:val="18"/>
      <w:sz w:val="20"/>
      <w:szCs w:val="20"/>
    </w:rPr>
  </w:style>
  <w:style w:type="paragraph" w:styleId="CommentSubject">
    <w:name w:val="annotation subject"/>
    <w:basedOn w:val="CommentText"/>
    <w:next w:val="CommentText"/>
    <w:link w:val="CommentSubjectChar"/>
    <w:uiPriority w:val="99"/>
    <w:semiHidden/>
    <w:unhideWhenUsed/>
    <w:rsid w:val="00542F08"/>
    <w:rPr>
      <w:b/>
      <w:bCs/>
    </w:rPr>
  </w:style>
  <w:style w:type="character" w:customStyle="1" w:styleId="CommentSubjectChar">
    <w:name w:val="Comment Subject Char"/>
    <w:basedOn w:val="CommentTextChar"/>
    <w:link w:val="CommentSubject"/>
    <w:uiPriority w:val="99"/>
    <w:semiHidden/>
    <w:rsid w:val="00F66A91"/>
    <w:rPr>
      <w:b/>
      <w:bCs/>
      <w:kern w:val="18"/>
      <w:sz w:val="20"/>
      <w:szCs w:val="20"/>
    </w:rPr>
  </w:style>
  <w:style w:type="paragraph" w:customStyle="1" w:styleId="Heading">
    <w:name w:val="Heading"/>
    <w:basedOn w:val="BodyText"/>
    <w:next w:val="BodyText"/>
    <w:uiPriority w:val="1"/>
    <w:semiHidden/>
    <w:unhideWhenUsed/>
    <w:rsid w:val="008952D6"/>
    <w:pPr>
      <w:spacing w:after="120"/>
    </w:pPr>
    <w:rPr>
      <w:rFonts w:asciiTheme="majorHAnsi" w:hAnsiTheme="majorHAnsi" w:cstheme="majorHAnsi"/>
      <w:color w:val="000000" w:themeColor="text2"/>
      <w:sz w:val="24"/>
    </w:rPr>
  </w:style>
  <w:style w:type="paragraph" w:styleId="TableofFigures">
    <w:name w:val="table of figures"/>
    <w:basedOn w:val="Normal"/>
    <w:next w:val="Normal"/>
    <w:uiPriority w:val="99"/>
    <w:unhideWhenUsed/>
    <w:rsid w:val="00A34EE8"/>
    <w:pPr>
      <w:tabs>
        <w:tab w:val="clear" w:pos="284"/>
        <w:tab w:val="right" w:leader="dot" w:pos="9360"/>
      </w:tabs>
    </w:pPr>
  </w:style>
  <w:style w:type="numbering" w:customStyle="1" w:styleId="AECOMSectionnumbering">
    <w:name w:val="AECOM Section numbering"/>
    <w:uiPriority w:val="99"/>
    <w:semiHidden/>
    <w:unhideWhenUsed/>
    <w:rsid w:val="0055609F"/>
    <w:pPr>
      <w:numPr>
        <w:numId w:val="10"/>
      </w:numPr>
    </w:pPr>
  </w:style>
  <w:style w:type="paragraph" w:styleId="BalloonText">
    <w:name w:val="Balloon Text"/>
    <w:basedOn w:val="Normal"/>
    <w:link w:val="BalloonTextChar"/>
    <w:uiPriority w:val="99"/>
    <w:semiHidden/>
    <w:unhideWhenUsed/>
    <w:rsid w:val="00F97FC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66A91"/>
    <w:rPr>
      <w:rFonts w:ascii="Tahoma" w:hAnsi="Tahoma" w:cs="Tahoma"/>
      <w:kern w:val="18"/>
      <w:sz w:val="16"/>
      <w:szCs w:val="16"/>
    </w:rPr>
  </w:style>
  <w:style w:type="paragraph" w:styleId="Quote">
    <w:name w:val="Quote"/>
    <w:basedOn w:val="Normal"/>
    <w:next w:val="Normal"/>
    <w:link w:val="QuoteChar"/>
    <w:uiPriority w:val="21"/>
    <w:qFormat/>
    <w:rsid w:val="00854622"/>
    <w:pPr>
      <w:spacing w:after="120"/>
      <w:ind w:left="851" w:right="567"/>
    </w:pPr>
    <w:rPr>
      <w:i/>
      <w:iCs/>
      <w:color w:val="000000" w:themeColor="text1"/>
    </w:rPr>
  </w:style>
  <w:style w:type="character" w:customStyle="1" w:styleId="QuoteChar">
    <w:name w:val="Quote Char"/>
    <w:basedOn w:val="DefaultParagraphFont"/>
    <w:link w:val="Quote"/>
    <w:uiPriority w:val="20"/>
    <w:semiHidden/>
    <w:rsid w:val="00F66A91"/>
    <w:rPr>
      <w:i/>
      <w:iCs/>
      <w:color w:val="000000" w:themeColor="text1"/>
      <w:kern w:val="18"/>
    </w:rPr>
  </w:style>
  <w:style w:type="numbering" w:styleId="111111">
    <w:name w:val="Outline List 2"/>
    <w:basedOn w:val="NoList"/>
    <w:uiPriority w:val="99"/>
    <w:semiHidden/>
    <w:unhideWhenUsed/>
    <w:rsid w:val="004C255D"/>
    <w:pPr>
      <w:numPr>
        <w:numId w:val="11"/>
      </w:numPr>
    </w:pPr>
  </w:style>
  <w:style w:type="numbering" w:styleId="1ai">
    <w:name w:val="Outline List 1"/>
    <w:basedOn w:val="NoList"/>
    <w:uiPriority w:val="99"/>
    <w:semiHidden/>
    <w:unhideWhenUsed/>
    <w:rsid w:val="004C255D"/>
    <w:pPr>
      <w:numPr>
        <w:numId w:val="12"/>
      </w:numPr>
    </w:pPr>
  </w:style>
  <w:style w:type="numbering" w:styleId="ArticleSection">
    <w:name w:val="Outline List 3"/>
    <w:basedOn w:val="NoList"/>
    <w:uiPriority w:val="99"/>
    <w:semiHidden/>
    <w:unhideWhenUsed/>
    <w:rsid w:val="004C255D"/>
    <w:pPr>
      <w:numPr>
        <w:numId w:val="13"/>
      </w:numPr>
    </w:pPr>
  </w:style>
  <w:style w:type="paragraph" w:styleId="Bibliography">
    <w:name w:val="Bibliography"/>
    <w:basedOn w:val="Normal"/>
    <w:next w:val="Normal"/>
    <w:uiPriority w:val="37"/>
    <w:semiHidden/>
    <w:unhideWhenUsed/>
    <w:rsid w:val="004C255D"/>
  </w:style>
  <w:style w:type="paragraph" w:styleId="BlockText">
    <w:name w:val="Block Text"/>
    <w:basedOn w:val="Normal"/>
    <w:uiPriority w:val="99"/>
    <w:semiHidden/>
    <w:unhideWhenUsed/>
    <w:rsid w:val="004C255D"/>
    <w:pPr>
      <w:pBdr>
        <w:top w:val="single" w:sz="2" w:space="10" w:color="00B5E2" w:themeColor="accent1" w:shadow="1" w:frame="1"/>
        <w:left w:val="single" w:sz="2" w:space="10" w:color="00B5E2" w:themeColor="accent1" w:shadow="1" w:frame="1"/>
        <w:bottom w:val="single" w:sz="2" w:space="10" w:color="00B5E2" w:themeColor="accent1" w:shadow="1" w:frame="1"/>
        <w:right w:val="single" w:sz="2" w:space="10" w:color="00B5E2" w:themeColor="accent1" w:shadow="1" w:frame="1"/>
      </w:pBdr>
      <w:ind w:left="1152" w:right="1152"/>
    </w:pPr>
    <w:rPr>
      <w:rFonts w:eastAsiaTheme="minorEastAsia"/>
      <w:i/>
      <w:iCs/>
      <w:color w:val="00B5E2" w:themeColor="accent1"/>
    </w:rPr>
  </w:style>
  <w:style w:type="paragraph" w:styleId="BodyText2">
    <w:name w:val="Body Text 2"/>
    <w:basedOn w:val="Normal"/>
    <w:link w:val="BodyText2Char"/>
    <w:uiPriority w:val="99"/>
    <w:semiHidden/>
    <w:unhideWhenUsed/>
    <w:rsid w:val="004C255D"/>
    <w:pPr>
      <w:spacing w:after="120" w:line="480" w:lineRule="auto"/>
    </w:pPr>
  </w:style>
  <w:style w:type="character" w:customStyle="1" w:styleId="BodyText2Char">
    <w:name w:val="Body Text 2 Char"/>
    <w:basedOn w:val="DefaultParagraphFont"/>
    <w:link w:val="BodyText2"/>
    <w:uiPriority w:val="99"/>
    <w:semiHidden/>
    <w:rsid w:val="00F66A91"/>
    <w:rPr>
      <w:kern w:val="18"/>
    </w:rPr>
  </w:style>
  <w:style w:type="paragraph" w:styleId="BodyText3">
    <w:name w:val="Body Text 3"/>
    <w:basedOn w:val="Normal"/>
    <w:link w:val="BodyText3Char"/>
    <w:uiPriority w:val="99"/>
    <w:semiHidden/>
    <w:unhideWhenUsed/>
    <w:rsid w:val="004C255D"/>
    <w:pPr>
      <w:spacing w:after="120"/>
    </w:pPr>
    <w:rPr>
      <w:sz w:val="16"/>
      <w:szCs w:val="16"/>
    </w:rPr>
  </w:style>
  <w:style w:type="character" w:customStyle="1" w:styleId="BodyText3Char">
    <w:name w:val="Body Text 3 Char"/>
    <w:basedOn w:val="DefaultParagraphFont"/>
    <w:link w:val="BodyText3"/>
    <w:uiPriority w:val="99"/>
    <w:semiHidden/>
    <w:rsid w:val="00F66A91"/>
    <w:rPr>
      <w:kern w:val="18"/>
      <w:sz w:val="16"/>
      <w:szCs w:val="16"/>
    </w:rPr>
  </w:style>
  <w:style w:type="paragraph" w:styleId="BodyTextFirstIndent">
    <w:name w:val="Body Text First Indent"/>
    <w:basedOn w:val="BodyText"/>
    <w:link w:val="BodyTextFirstIndentChar"/>
    <w:uiPriority w:val="99"/>
    <w:semiHidden/>
    <w:unhideWhenUsed/>
    <w:rsid w:val="004C255D"/>
    <w:pPr>
      <w:spacing w:after="0"/>
      <w:ind w:firstLine="360"/>
    </w:pPr>
  </w:style>
  <w:style w:type="character" w:customStyle="1" w:styleId="BodyTextFirstIndentChar">
    <w:name w:val="Body Text First Indent Char"/>
    <w:basedOn w:val="BodyTextChar"/>
    <w:link w:val="BodyTextFirstIndent"/>
    <w:uiPriority w:val="99"/>
    <w:semiHidden/>
    <w:rsid w:val="00F66A91"/>
    <w:rPr>
      <w:kern w:val="18"/>
    </w:rPr>
  </w:style>
  <w:style w:type="paragraph" w:styleId="BodyTextIndent">
    <w:name w:val="Body Text Indent"/>
    <w:basedOn w:val="Normal"/>
    <w:link w:val="BodyTextIndentChar"/>
    <w:uiPriority w:val="99"/>
    <w:semiHidden/>
    <w:unhideWhenUsed/>
    <w:rsid w:val="004C255D"/>
    <w:pPr>
      <w:spacing w:after="120"/>
      <w:ind w:left="283"/>
    </w:pPr>
  </w:style>
  <w:style w:type="character" w:customStyle="1" w:styleId="BodyTextIndentChar">
    <w:name w:val="Body Text Indent Char"/>
    <w:basedOn w:val="DefaultParagraphFont"/>
    <w:link w:val="BodyTextIndent"/>
    <w:uiPriority w:val="99"/>
    <w:semiHidden/>
    <w:rsid w:val="00F66A91"/>
    <w:rPr>
      <w:kern w:val="18"/>
    </w:rPr>
  </w:style>
  <w:style w:type="paragraph" w:styleId="BodyTextFirstIndent2">
    <w:name w:val="Body Text First Indent 2"/>
    <w:basedOn w:val="BodyTextIndent"/>
    <w:link w:val="BodyTextFirstIndent2Char"/>
    <w:uiPriority w:val="99"/>
    <w:semiHidden/>
    <w:unhideWhenUsed/>
    <w:rsid w:val="004C255D"/>
    <w:pPr>
      <w:spacing w:after="0"/>
      <w:ind w:left="360" w:firstLine="360"/>
    </w:pPr>
  </w:style>
  <w:style w:type="character" w:customStyle="1" w:styleId="BodyTextFirstIndent2Char">
    <w:name w:val="Body Text First Indent 2 Char"/>
    <w:basedOn w:val="BodyTextIndentChar"/>
    <w:link w:val="BodyTextFirstIndent2"/>
    <w:uiPriority w:val="99"/>
    <w:semiHidden/>
    <w:rsid w:val="00F66A91"/>
    <w:rPr>
      <w:kern w:val="18"/>
    </w:rPr>
  </w:style>
  <w:style w:type="paragraph" w:styleId="BodyTextIndent2">
    <w:name w:val="Body Text Indent 2"/>
    <w:basedOn w:val="Normal"/>
    <w:link w:val="BodyTextIndent2Char"/>
    <w:uiPriority w:val="99"/>
    <w:semiHidden/>
    <w:unhideWhenUsed/>
    <w:rsid w:val="004C255D"/>
    <w:pPr>
      <w:spacing w:after="120" w:line="480" w:lineRule="auto"/>
      <w:ind w:left="283"/>
    </w:pPr>
  </w:style>
  <w:style w:type="character" w:customStyle="1" w:styleId="BodyTextIndent2Char">
    <w:name w:val="Body Text Indent 2 Char"/>
    <w:basedOn w:val="DefaultParagraphFont"/>
    <w:link w:val="BodyTextIndent2"/>
    <w:uiPriority w:val="99"/>
    <w:semiHidden/>
    <w:rsid w:val="00F66A91"/>
    <w:rPr>
      <w:kern w:val="18"/>
    </w:rPr>
  </w:style>
  <w:style w:type="paragraph" w:styleId="BodyTextIndent3">
    <w:name w:val="Body Text Indent 3"/>
    <w:basedOn w:val="Normal"/>
    <w:link w:val="BodyTextIndent3Char"/>
    <w:uiPriority w:val="99"/>
    <w:semiHidden/>
    <w:unhideWhenUsed/>
    <w:rsid w:val="004C255D"/>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F66A91"/>
    <w:rPr>
      <w:kern w:val="18"/>
      <w:sz w:val="16"/>
      <w:szCs w:val="16"/>
    </w:rPr>
  </w:style>
  <w:style w:type="character" w:styleId="BookTitle">
    <w:name w:val="Book Title"/>
    <w:basedOn w:val="DefaultParagraphFont"/>
    <w:uiPriority w:val="33"/>
    <w:semiHidden/>
    <w:unhideWhenUsed/>
    <w:rsid w:val="004C255D"/>
    <w:rPr>
      <w:b/>
      <w:bCs/>
      <w:smallCaps/>
      <w:spacing w:val="5"/>
    </w:rPr>
  </w:style>
  <w:style w:type="paragraph" w:styleId="Closing">
    <w:name w:val="Closing"/>
    <w:basedOn w:val="Normal"/>
    <w:link w:val="ClosingChar"/>
    <w:uiPriority w:val="99"/>
    <w:semiHidden/>
    <w:unhideWhenUsed/>
    <w:rsid w:val="004C255D"/>
    <w:pPr>
      <w:spacing w:line="240" w:lineRule="auto"/>
      <w:ind w:left="4252"/>
    </w:pPr>
  </w:style>
  <w:style w:type="character" w:customStyle="1" w:styleId="ClosingChar">
    <w:name w:val="Closing Char"/>
    <w:basedOn w:val="DefaultParagraphFont"/>
    <w:link w:val="Closing"/>
    <w:uiPriority w:val="99"/>
    <w:semiHidden/>
    <w:rsid w:val="00F66A91"/>
    <w:rPr>
      <w:kern w:val="18"/>
    </w:rPr>
  </w:style>
  <w:style w:type="character" w:styleId="CommentReference">
    <w:name w:val="annotation reference"/>
    <w:basedOn w:val="DefaultParagraphFont"/>
    <w:uiPriority w:val="99"/>
    <w:semiHidden/>
    <w:unhideWhenUsed/>
    <w:rsid w:val="004C255D"/>
    <w:rPr>
      <w:sz w:val="16"/>
      <w:szCs w:val="16"/>
    </w:rPr>
  </w:style>
  <w:style w:type="paragraph" w:styleId="Date">
    <w:name w:val="Date"/>
    <w:basedOn w:val="Normal"/>
    <w:next w:val="Normal"/>
    <w:link w:val="DateChar"/>
    <w:uiPriority w:val="99"/>
    <w:semiHidden/>
    <w:unhideWhenUsed/>
    <w:rsid w:val="004C255D"/>
  </w:style>
  <w:style w:type="character" w:customStyle="1" w:styleId="DateChar">
    <w:name w:val="Date Char"/>
    <w:basedOn w:val="DefaultParagraphFont"/>
    <w:link w:val="Date"/>
    <w:uiPriority w:val="99"/>
    <w:semiHidden/>
    <w:rsid w:val="00F66A91"/>
    <w:rPr>
      <w:kern w:val="18"/>
    </w:rPr>
  </w:style>
  <w:style w:type="paragraph" w:styleId="DocumentMap">
    <w:name w:val="Document Map"/>
    <w:basedOn w:val="Normal"/>
    <w:link w:val="DocumentMapChar"/>
    <w:uiPriority w:val="99"/>
    <w:semiHidden/>
    <w:unhideWhenUsed/>
    <w:rsid w:val="004C255D"/>
    <w:pPr>
      <w:spacing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F66A91"/>
    <w:rPr>
      <w:rFonts w:ascii="Tahoma" w:hAnsi="Tahoma" w:cs="Tahoma"/>
      <w:kern w:val="18"/>
      <w:sz w:val="16"/>
      <w:szCs w:val="16"/>
    </w:rPr>
  </w:style>
  <w:style w:type="paragraph" w:styleId="E-mailSignature">
    <w:name w:val="E-mail Signature"/>
    <w:basedOn w:val="Normal"/>
    <w:link w:val="E-mailSignatureChar"/>
    <w:uiPriority w:val="99"/>
    <w:semiHidden/>
    <w:unhideWhenUsed/>
    <w:rsid w:val="004C255D"/>
    <w:pPr>
      <w:spacing w:line="240" w:lineRule="auto"/>
    </w:pPr>
  </w:style>
  <w:style w:type="character" w:customStyle="1" w:styleId="E-mailSignatureChar">
    <w:name w:val="E-mail Signature Char"/>
    <w:basedOn w:val="DefaultParagraphFont"/>
    <w:link w:val="E-mailSignature"/>
    <w:uiPriority w:val="99"/>
    <w:semiHidden/>
    <w:rsid w:val="00F66A91"/>
    <w:rPr>
      <w:kern w:val="18"/>
    </w:rPr>
  </w:style>
  <w:style w:type="character" w:styleId="Emphasis">
    <w:name w:val="Emphasis"/>
    <w:basedOn w:val="DefaultParagraphFont"/>
    <w:uiPriority w:val="20"/>
    <w:semiHidden/>
    <w:unhideWhenUsed/>
    <w:rsid w:val="004C255D"/>
    <w:rPr>
      <w:i/>
      <w:iCs/>
    </w:rPr>
  </w:style>
  <w:style w:type="character" w:styleId="EndnoteReference">
    <w:name w:val="endnote reference"/>
    <w:basedOn w:val="DefaultParagraphFont"/>
    <w:uiPriority w:val="99"/>
    <w:semiHidden/>
    <w:unhideWhenUsed/>
    <w:rsid w:val="004C255D"/>
    <w:rPr>
      <w:vertAlign w:val="superscript"/>
    </w:rPr>
  </w:style>
  <w:style w:type="paragraph" w:styleId="EndnoteText">
    <w:name w:val="endnote text"/>
    <w:basedOn w:val="Normal"/>
    <w:link w:val="EndnoteTextChar"/>
    <w:uiPriority w:val="99"/>
    <w:semiHidden/>
    <w:unhideWhenUsed/>
    <w:rsid w:val="004C255D"/>
    <w:pPr>
      <w:spacing w:line="240" w:lineRule="auto"/>
    </w:pPr>
    <w:rPr>
      <w:szCs w:val="20"/>
    </w:rPr>
  </w:style>
  <w:style w:type="character" w:customStyle="1" w:styleId="EndnoteTextChar">
    <w:name w:val="Endnote Text Char"/>
    <w:basedOn w:val="DefaultParagraphFont"/>
    <w:link w:val="EndnoteText"/>
    <w:uiPriority w:val="99"/>
    <w:semiHidden/>
    <w:rsid w:val="00F66A91"/>
    <w:rPr>
      <w:kern w:val="18"/>
      <w:sz w:val="20"/>
      <w:szCs w:val="20"/>
    </w:rPr>
  </w:style>
  <w:style w:type="paragraph" w:styleId="EnvelopeAddress">
    <w:name w:val="envelope address"/>
    <w:basedOn w:val="Normal"/>
    <w:uiPriority w:val="99"/>
    <w:semiHidden/>
    <w:unhideWhenUsed/>
    <w:rsid w:val="004C255D"/>
    <w:pPr>
      <w:framePr w:w="7920" w:h="1980" w:hRule="exact" w:hSpace="180" w:wrap="auto" w:hAnchor="page" w:xAlign="center" w:yAlign="bottom"/>
      <w:spacing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4C255D"/>
    <w:pPr>
      <w:spacing w:line="240" w:lineRule="auto"/>
    </w:pPr>
    <w:rPr>
      <w:rFonts w:asciiTheme="majorHAnsi" w:eastAsiaTheme="majorEastAsia" w:hAnsiTheme="majorHAnsi" w:cstheme="majorBidi"/>
      <w:szCs w:val="20"/>
    </w:rPr>
  </w:style>
  <w:style w:type="character" w:styleId="HTMLAcronym">
    <w:name w:val="HTML Acronym"/>
    <w:basedOn w:val="DefaultParagraphFont"/>
    <w:uiPriority w:val="99"/>
    <w:semiHidden/>
    <w:unhideWhenUsed/>
    <w:rsid w:val="004C255D"/>
  </w:style>
  <w:style w:type="paragraph" w:styleId="HTMLAddress">
    <w:name w:val="HTML Address"/>
    <w:basedOn w:val="Normal"/>
    <w:link w:val="HTMLAddressChar"/>
    <w:uiPriority w:val="99"/>
    <w:semiHidden/>
    <w:unhideWhenUsed/>
    <w:rsid w:val="004C255D"/>
    <w:pPr>
      <w:spacing w:line="240" w:lineRule="auto"/>
    </w:pPr>
    <w:rPr>
      <w:i/>
      <w:iCs/>
    </w:rPr>
  </w:style>
  <w:style w:type="character" w:customStyle="1" w:styleId="HTMLAddressChar">
    <w:name w:val="HTML Address Char"/>
    <w:basedOn w:val="DefaultParagraphFont"/>
    <w:link w:val="HTMLAddress"/>
    <w:uiPriority w:val="99"/>
    <w:semiHidden/>
    <w:rsid w:val="00F66A91"/>
    <w:rPr>
      <w:i/>
      <w:iCs/>
      <w:kern w:val="18"/>
    </w:rPr>
  </w:style>
  <w:style w:type="character" w:styleId="HTMLCite">
    <w:name w:val="HTML Cite"/>
    <w:basedOn w:val="DefaultParagraphFont"/>
    <w:uiPriority w:val="99"/>
    <w:semiHidden/>
    <w:unhideWhenUsed/>
    <w:rsid w:val="004C255D"/>
    <w:rPr>
      <w:i/>
      <w:iCs/>
    </w:rPr>
  </w:style>
  <w:style w:type="character" w:styleId="HTMLCode">
    <w:name w:val="HTML Code"/>
    <w:basedOn w:val="DefaultParagraphFont"/>
    <w:uiPriority w:val="99"/>
    <w:semiHidden/>
    <w:unhideWhenUsed/>
    <w:rsid w:val="004C255D"/>
    <w:rPr>
      <w:rFonts w:ascii="Consolas" w:hAnsi="Consolas"/>
      <w:sz w:val="20"/>
      <w:szCs w:val="20"/>
    </w:rPr>
  </w:style>
  <w:style w:type="character" w:styleId="HTMLDefinition">
    <w:name w:val="HTML Definition"/>
    <w:basedOn w:val="DefaultParagraphFont"/>
    <w:uiPriority w:val="99"/>
    <w:semiHidden/>
    <w:unhideWhenUsed/>
    <w:rsid w:val="004C255D"/>
    <w:rPr>
      <w:i/>
      <w:iCs/>
    </w:rPr>
  </w:style>
  <w:style w:type="character" w:styleId="HTMLKeyboard">
    <w:name w:val="HTML Keyboard"/>
    <w:basedOn w:val="DefaultParagraphFont"/>
    <w:uiPriority w:val="99"/>
    <w:semiHidden/>
    <w:unhideWhenUsed/>
    <w:rsid w:val="004C255D"/>
    <w:rPr>
      <w:rFonts w:ascii="Consolas" w:hAnsi="Consolas"/>
      <w:sz w:val="20"/>
      <w:szCs w:val="20"/>
    </w:rPr>
  </w:style>
  <w:style w:type="paragraph" w:styleId="HTMLPreformatted">
    <w:name w:val="HTML Preformatted"/>
    <w:basedOn w:val="Normal"/>
    <w:link w:val="HTMLPreformattedChar"/>
    <w:uiPriority w:val="99"/>
    <w:semiHidden/>
    <w:unhideWhenUsed/>
    <w:rsid w:val="004C255D"/>
    <w:pPr>
      <w:spacing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F66A91"/>
    <w:rPr>
      <w:rFonts w:ascii="Consolas" w:hAnsi="Consolas"/>
      <w:kern w:val="18"/>
      <w:sz w:val="20"/>
      <w:szCs w:val="20"/>
    </w:rPr>
  </w:style>
  <w:style w:type="character" w:styleId="HTMLSample">
    <w:name w:val="HTML Sample"/>
    <w:basedOn w:val="DefaultParagraphFont"/>
    <w:uiPriority w:val="99"/>
    <w:semiHidden/>
    <w:unhideWhenUsed/>
    <w:rsid w:val="004C255D"/>
    <w:rPr>
      <w:rFonts w:ascii="Consolas" w:hAnsi="Consolas"/>
      <w:sz w:val="24"/>
      <w:szCs w:val="24"/>
    </w:rPr>
  </w:style>
  <w:style w:type="character" w:styleId="HTMLTypewriter">
    <w:name w:val="HTML Typewriter"/>
    <w:basedOn w:val="DefaultParagraphFont"/>
    <w:uiPriority w:val="99"/>
    <w:semiHidden/>
    <w:unhideWhenUsed/>
    <w:rsid w:val="004C255D"/>
    <w:rPr>
      <w:rFonts w:ascii="Consolas" w:hAnsi="Consolas"/>
      <w:sz w:val="20"/>
      <w:szCs w:val="20"/>
    </w:rPr>
  </w:style>
  <w:style w:type="character" w:styleId="HTMLVariable">
    <w:name w:val="HTML Variable"/>
    <w:basedOn w:val="DefaultParagraphFont"/>
    <w:uiPriority w:val="99"/>
    <w:semiHidden/>
    <w:unhideWhenUsed/>
    <w:rsid w:val="004C255D"/>
    <w:rPr>
      <w:i/>
      <w:iCs/>
    </w:rPr>
  </w:style>
  <w:style w:type="paragraph" w:styleId="Index1">
    <w:name w:val="index 1"/>
    <w:basedOn w:val="Normal"/>
    <w:next w:val="Normal"/>
    <w:autoRedefine/>
    <w:uiPriority w:val="99"/>
    <w:semiHidden/>
    <w:unhideWhenUsed/>
    <w:rsid w:val="004C255D"/>
    <w:pPr>
      <w:tabs>
        <w:tab w:val="clear" w:pos="284"/>
      </w:tabs>
      <w:spacing w:line="240" w:lineRule="auto"/>
      <w:ind w:left="180" w:hanging="180"/>
    </w:pPr>
  </w:style>
  <w:style w:type="paragraph" w:styleId="Index2">
    <w:name w:val="index 2"/>
    <w:basedOn w:val="Normal"/>
    <w:next w:val="Normal"/>
    <w:autoRedefine/>
    <w:uiPriority w:val="99"/>
    <w:semiHidden/>
    <w:unhideWhenUsed/>
    <w:rsid w:val="004C255D"/>
    <w:pPr>
      <w:tabs>
        <w:tab w:val="clear" w:pos="284"/>
      </w:tabs>
      <w:spacing w:line="240" w:lineRule="auto"/>
      <w:ind w:left="360" w:hanging="180"/>
    </w:pPr>
  </w:style>
  <w:style w:type="paragraph" w:styleId="Index3">
    <w:name w:val="index 3"/>
    <w:basedOn w:val="Normal"/>
    <w:next w:val="Normal"/>
    <w:autoRedefine/>
    <w:uiPriority w:val="99"/>
    <w:semiHidden/>
    <w:unhideWhenUsed/>
    <w:rsid w:val="004C255D"/>
    <w:pPr>
      <w:tabs>
        <w:tab w:val="clear" w:pos="284"/>
      </w:tabs>
      <w:spacing w:line="240" w:lineRule="auto"/>
      <w:ind w:left="540" w:hanging="180"/>
    </w:pPr>
  </w:style>
  <w:style w:type="paragraph" w:styleId="Index4">
    <w:name w:val="index 4"/>
    <w:basedOn w:val="Normal"/>
    <w:next w:val="Normal"/>
    <w:autoRedefine/>
    <w:uiPriority w:val="99"/>
    <w:semiHidden/>
    <w:unhideWhenUsed/>
    <w:rsid w:val="004C255D"/>
    <w:pPr>
      <w:tabs>
        <w:tab w:val="clear" w:pos="284"/>
      </w:tabs>
      <w:spacing w:line="240" w:lineRule="auto"/>
      <w:ind w:left="720" w:hanging="180"/>
    </w:pPr>
  </w:style>
  <w:style w:type="paragraph" w:styleId="Index5">
    <w:name w:val="index 5"/>
    <w:basedOn w:val="Normal"/>
    <w:next w:val="Normal"/>
    <w:autoRedefine/>
    <w:uiPriority w:val="99"/>
    <w:semiHidden/>
    <w:unhideWhenUsed/>
    <w:rsid w:val="004C255D"/>
    <w:pPr>
      <w:tabs>
        <w:tab w:val="clear" w:pos="284"/>
      </w:tabs>
      <w:spacing w:line="240" w:lineRule="auto"/>
      <w:ind w:left="900" w:hanging="180"/>
    </w:pPr>
  </w:style>
  <w:style w:type="paragraph" w:styleId="Index6">
    <w:name w:val="index 6"/>
    <w:basedOn w:val="Normal"/>
    <w:next w:val="Normal"/>
    <w:autoRedefine/>
    <w:uiPriority w:val="99"/>
    <w:semiHidden/>
    <w:unhideWhenUsed/>
    <w:rsid w:val="004C255D"/>
    <w:pPr>
      <w:tabs>
        <w:tab w:val="clear" w:pos="284"/>
      </w:tabs>
      <w:spacing w:line="240" w:lineRule="auto"/>
      <w:ind w:left="1080" w:hanging="180"/>
    </w:pPr>
  </w:style>
  <w:style w:type="paragraph" w:styleId="Index7">
    <w:name w:val="index 7"/>
    <w:basedOn w:val="Normal"/>
    <w:next w:val="Normal"/>
    <w:autoRedefine/>
    <w:uiPriority w:val="99"/>
    <w:semiHidden/>
    <w:unhideWhenUsed/>
    <w:rsid w:val="004C255D"/>
    <w:pPr>
      <w:tabs>
        <w:tab w:val="clear" w:pos="284"/>
      </w:tabs>
      <w:spacing w:line="240" w:lineRule="auto"/>
      <w:ind w:left="1260" w:hanging="180"/>
    </w:pPr>
  </w:style>
  <w:style w:type="paragraph" w:styleId="Index8">
    <w:name w:val="index 8"/>
    <w:basedOn w:val="Normal"/>
    <w:next w:val="Normal"/>
    <w:autoRedefine/>
    <w:uiPriority w:val="99"/>
    <w:semiHidden/>
    <w:unhideWhenUsed/>
    <w:rsid w:val="004C255D"/>
    <w:pPr>
      <w:tabs>
        <w:tab w:val="clear" w:pos="284"/>
      </w:tabs>
      <w:spacing w:line="240" w:lineRule="auto"/>
      <w:ind w:left="1440" w:hanging="180"/>
    </w:pPr>
  </w:style>
  <w:style w:type="paragraph" w:styleId="Index9">
    <w:name w:val="index 9"/>
    <w:basedOn w:val="Normal"/>
    <w:next w:val="Normal"/>
    <w:autoRedefine/>
    <w:uiPriority w:val="99"/>
    <w:semiHidden/>
    <w:unhideWhenUsed/>
    <w:rsid w:val="004C255D"/>
    <w:pPr>
      <w:tabs>
        <w:tab w:val="clear" w:pos="284"/>
      </w:tabs>
      <w:spacing w:line="240" w:lineRule="auto"/>
      <w:ind w:left="1620" w:hanging="180"/>
    </w:pPr>
  </w:style>
  <w:style w:type="paragraph" w:styleId="IndexHeading">
    <w:name w:val="index heading"/>
    <w:basedOn w:val="Normal"/>
    <w:next w:val="Index1"/>
    <w:uiPriority w:val="99"/>
    <w:semiHidden/>
    <w:unhideWhenUsed/>
    <w:rsid w:val="004C255D"/>
    <w:rPr>
      <w:rFonts w:asciiTheme="majorHAnsi" w:eastAsiaTheme="majorEastAsia" w:hAnsiTheme="majorHAnsi" w:cstheme="majorBidi"/>
      <w:b/>
      <w:bCs/>
    </w:rPr>
  </w:style>
  <w:style w:type="character" w:styleId="IntenseEmphasis">
    <w:name w:val="Intense Emphasis"/>
    <w:basedOn w:val="DefaultParagraphFont"/>
    <w:uiPriority w:val="21"/>
    <w:semiHidden/>
    <w:unhideWhenUsed/>
    <w:rsid w:val="004C255D"/>
    <w:rPr>
      <w:b/>
      <w:bCs/>
      <w:i/>
      <w:iCs/>
      <w:color w:val="00B5E2" w:themeColor="accent1"/>
    </w:rPr>
  </w:style>
  <w:style w:type="paragraph" w:styleId="IntenseQuote">
    <w:name w:val="Intense Quote"/>
    <w:basedOn w:val="Normal"/>
    <w:next w:val="Normal"/>
    <w:link w:val="IntenseQuoteChar"/>
    <w:uiPriority w:val="30"/>
    <w:semiHidden/>
    <w:unhideWhenUsed/>
    <w:rsid w:val="004C255D"/>
    <w:pPr>
      <w:pBdr>
        <w:bottom w:val="single" w:sz="4" w:space="4" w:color="00B5E2" w:themeColor="accent1"/>
      </w:pBdr>
      <w:spacing w:before="200" w:after="280"/>
      <w:ind w:left="936" w:right="936"/>
    </w:pPr>
    <w:rPr>
      <w:b/>
      <w:bCs/>
      <w:i/>
      <w:iCs/>
      <w:color w:val="00B5E2" w:themeColor="accent1"/>
    </w:rPr>
  </w:style>
  <w:style w:type="character" w:customStyle="1" w:styleId="IntenseQuoteChar">
    <w:name w:val="Intense Quote Char"/>
    <w:basedOn w:val="DefaultParagraphFont"/>
    <w:link w:val="IntenseQuote"/>
    <w:uiPriority w:val="30"/>
    <w:semiHidden/>
    <w:rsid w:val="00F66A91"/>
    <w:rPr>
      <w:b/>
      <w:bCs/>
      <w:i/>
      <w:iCs/>
      <w:color w:val="00B5E2" w:themeColor="accent1"/>
      <w:kern w:val="18"/>
    </w:rPr>
  </w:style>
  <w:style w:type="character" w:styleId="IntenseReference">
    <w:name w:val="Intense Reference"/>
    <w:basedOn w:val="DefaultParagraphFont"/>
    <w:uiPriority w:val="32"/>
    <w:semiHidden/>
    <w:unhideWhenUsed/>
    <w:rsid w:val="004C255D"/>
    <w:rPr>
      <w:b/>
      <w:bCs/>
      <w:smallCaps/>
      <w:color w:val="84BD00" w:themeColor="accent2"/>
      <w:spacing w:val="5"/>
      <w:u w:val="single"/>
    </w:rPr>
  </w:style>
  <w:style w:type="character" w:styleId="LineNumber">
    <w:name w:val="line number"/>
    <w:basedOn w:val="DefaultParagraphFont"/>
    <w:uiPriority w:val="99"/>
    <w:semiHidden/>
    <w:unhideWhenUsed/>
    <w:rsid w:val="004C255D"/>
  </w:style>
  <w:style w:type="paragraph" w:styleId="List">
    <w:name w:val="List"/>
    <w:basedOn w:val="Normal"/>
    <w:uiPriority w:val="99"/>
    <w:semiHidden/>
    <w:unhideWhenUsed/>
    <w:rsid w:val="004C255D"/>
    <w:pPr>
      <w:ind w:left="283" w:hanging="283"/>
      <w:contextualSpacing/>
    </w:pPr>
  </w:style>
  <w:style w:type="paragraph" w:styleId="List2">
    <w:name w:val="List 2"/>
    <w:basedOn w:val="Normal"/>
    <w:uiPriority w:val="99"/>
    <w:semiHidden/>
    <w:unhideWhenUsed/>
    <w:rsid w:val="004C255D"/>
    <w:pPr>
      <w:ind w:left="566" w:hanging="283"/>
      <w:contextualSpacing/>
    </w:pPr>
  </w:style>
  <w:style w:type="paragraph" w:styleId="List3">
    <w:name w:val="List 3"/>
    <w:basedOn w:val="Normal"/>
    <w:uiPriority w:val="99"/>
    <w:semiHidden/>
    <w:unhideWhenUsed/>
    <w:rsid w:val="004C255D"/>
    <w:pPr>
      <w:ind w:left="849" w:hanging="283"/>
      <w:contextualSpacing/>
    </w:pPr>
  </w:style>
  <w:style w:type="paragraph" w:styleId="List4">
    <w:name w:val="List 4"/>
    <w:basedOn w:val="Normal"/>
    <w:uiPriority w:val="99"/>
    <w:semiHidden/>
    <w:unhideWhenUsed/>
    <w:rsid w:val="004C255D"/>
    <w:pPr>
      <w:ind w:left="1132" w:hanging="283"/>
      <w:contextualSpacing/>
    </w:pPr>
  </w:style>
  <w:style w:type="paragraph" w:styleId="List5">
    <w:name w:val="List 5"/>
    <w:basedOn w:val="Normal"/>
    <w:uiPriority w:val="99"/>
    <w:semiHidden/>
    <w:unhideWhenUsed/>
    <w:rsid w:val="004C255D"/>
    <w:pPr>
      <w:ind w:left="1415" w:hanging="283"/>
      <w:contextualSpacing/>
    </w:pPr>
  </w:style>
  <w:style w:type="paragraph" w:styleId="ListBullet4">
    <w:name w:val="List Bullet 4"/>
    <w:basedOn w:val="Normal"/>
    <w:uiPriority w:val="99"/>
    <w:semiHidden/>
    <w:unhideWhenUsed/>
    <w:rsid w:val="004C255D"/>
    <w:pPr>
      <w:numPr>
        <w:numId w:val="3"/>
      </w:numPr>
      <w:contextualSpacing/>
    </w:pPr>
  </w:style>
  <w:style w:type="paragraph" w:styleId="ListBullet5">
    <w:name w:val="List Bullet 5"/>
    <w:basedOn w:val="Normal"/>
    <w:uiPriority w:val="99"/>
    <w:semiHidden/>
    <w:unhideWhenUsed/>
    <w:rsid w:val="004C255D"/>
    <w:pPr>
      <w:numPr>
        <w:numId w:val="4"/>
      </w:numPr>
      <w:contextualSpacing/>
    </w:pPr>
  </w:style>
  <w:style w:type="paragraph" w:styleId="ListContinue">
    <w:name w:val="List Continue"/>
    <w:basedOn w:val="Normal"/>
    <w:uiPriority w:val="99"/>
    <w:semiHidden/>
    <w:unhideWhenUsed/>
    <w:rsid w:val="004C255D"/>
    <w:pPr>
      <w:spacing w:after="120"/>
      <w:ind w:left="283"/>
      <w:contextualSpacing/>
    </w:pPr>
  </w:style>
  <w:style w:type="paragraph" w:styleId="ListContinue2">
    <w:name w:val="List Continue 2"/>
    <w:basedOn w:val="Normal"/>
    <w:uiPriority w:val="99"/>
    <w:semiHidden/>
    <w:unhideWhenUsed/>
    <w:rsid w:val="004C255D"/>
    <w:pPr>
      <w:spacing w:after="120"/>
      <w:ind w:left="566"/>
      <w:contextualSpacing/>
    </w:pPr>
  </w:style>
  <w:style w:type="paragraph" w:styleId="ListContinue3">
    <w:name w:val="List Continue 3"/>
    <w:basedOn w:val="Normal"/>
    <w:uiPriority w:val="99"/>
    <w:semiHidden/>
    <w:unhideWhenUsed/>
    <w:rsid w:val="004C255D"/>
    <w:pPr>
      <w:spacing w:after="120"/>
      <w:ind w:left="849"/>
      <w:contextualSpacing/>
    </w:pPr>
  </w:style>
  <w:style w:type="paragraph" w:styleId="ListContinue4">
    <w:name w:val="List Continue 4"/>
    <w:basedOn w:val="Normal"/>
    <w:uiPriority w:val="99"/>
    <w:semiHidden/>
    <w:unhideWhenUsed/>
    <w:rsid w:val="004C255D"/>
    <w:pPr>
      <w:spacing w:after="120"/>
      <w:ind w:left="1132"/>
      <w:contextualSpacing/>
    </w:pPr>
  </w:style>
  <w:style w:type="paragraph" w:styleId="ListContinue5">
    <w:name w:val="List Continue 5"/>
    <w:basedOn w:val="Normal"/>
    <w:uiPriority w:val="99"/>
    <w:semiHidden/>
    <w:unhideWhenUsed/>
    <w:rsid w:val="004C255D"/>
    <w:pPr>
      <w:spacing w:after="120"/>
      <w:ind w:left="1415"/>
      <w:contextualSpacing/>
    </w:pPr>
  </w:style>
  <w:style w:type="paragraph" w:styleId="ListNumber4">
    <w:name w:val="List Number 4"/>
    <w:basedOn w:val="Normal"/>
    <w:uiPriority w:val="99"/>
    <w:semiHidden/>
    <w:unhideWhenUsed/>
    <w:rsid w:val="004C255D"/>
    <w:pPr>
      <w:numPr>
        <w:numId w:val="5"/>
      </w:numPr>
      <w:contextualSpacing/>
    </w:pPr>
  </w:style>
  <w:style w:type="paragraph" w:styleId="ListNumber5">
    <w:name w:val="List Number 5"/>
    <w:basedOn w:val="Normal"/>
    <w:uiPriority w:val="99"/>
    <w:semiHidden/>
    <w:unhideWhenUsed/>
    <w:rsid w:val="004C255D"/>
    <w:pPr>
      <w:numPr>
        <w:numId w:val="6"/>
      </w:numPr>
      <w:contextualSpacing/>
    </w:pPr>
  </w:style>
  <w:style w:type="paragraph" w:styleId="ListParagraph">
    <w:name w:val="List Paragraph"/>
    <w:basedOn w:val="Normal"/>
    <w:uiPriority w:val="34"/>
    <w:unhideWhenUsed/>
    <w:qFormat/>
    <w:rsid w:val="004C255D"/>
    <w:pPr>
      <w:ind w:left="720"/>
      <w:contextualSpacing/>
    </w:pPr>
  </w:style>
  <w:style w:type="paragraph" w:styleId="MacroText">
    <w:name w:val="macro"/>
    <w:link w:val="MacroTextChar"/>
    <w:uiPriority w:val="99"/>
    <w:semiHidden/>
    <w:unhideWhenUsed/>
    <w:rsid w:val="004C255D"/>
    <w:pPr>
      <w:tabs>
        <w:tab w:val="left" w:pos="480"/>
        <w:tab w:val="left" w:pos="960"/>
        <w:tab w:val="left" w:pos="1440"/>
        <w:tab w:val="left" w:pos="1920"/>
        <w:tab w:val="left" w:pos="2400"/>
        <w:tab w:val="left" w:pos="2880"/>
        <w:tab w:val="left" w:pos="3360"/>
        <w:tab w:val="left" w:pos="3840"/>
        <w:tab w:val="left" w:pos="4320"/>
      </w:tabs>
      <w:spacing w:line="240" w:lineRule="atLeast"/>
    </w:pPr>
    <w:rPr>
      <w:rFonts w:ascii="Consolas" w:hAnsi="Consolas"/>
      <w:sz w:val="20"/>
      <w:szCs w:val="20"/>
    </w:rPr>
  </w:style>
  <w:style w:type="character" w:customStyle="1" w:styleId="MacroTextChar">
    <w:name w:val="Macro Text Char"/>
    <w:basedOn w:val="DefaultParagraphFont"/>
    <w:link w:val="MacroText"/>
    <w:uiPriority w:val="99"/>
    <w:semiHidden/>
    <w:rsid w:val="00F66A91"/>
    <w:rPr>
      <w:rFonts w:ascii="Consolas" w:hAnsi="Consolas"/>
      <w:sz w:val="20"/>
      <w:szCs w:val="20"/>
    </w:rPr>
  </w:style>
  <w:style w:type="paragraph" w:styleId="MessageHeader">
    <w:name w:val="Message Header"/>
    <w:basedOn w:val="Normal"/>
    <w:link w:val="MessageHeaderChar"/>
    <w:uiPriority w:val="99"/>
    <w:semiHidden/>
    <w:unhideWhenUsed/>
    <w:rsid w:val="004C255D"/>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F66A91"/>
    <w:rPr>
      <w:rFonts w:asciiTheme="majorHAnsi" w:eastAsiaTheme="majorEastAsia" w:hAnsiTheme="majorHAnsi" w:cstheme="majorBidi"/>
      <w:kern w:val="18"/>
      <w:sz w:val="24"/>
      <w:szCs w:val="24"/>
      <w:shd w:val="pct20" w:color="auto" w:fill="auto"/>
    </w:rPr>
  </w:style>
  <w:style w:type="paragraph" w:styleId="NoSpacing">
    <w:name w:val="No Spacing"/>
    <w:uiPriority w:val="1"/>
    <w:semiHidden/>
    <w:unhideWhenUsed/>
    <w:rsid w:val="004C255D"/>
    <w:pPr>
      <w:tabs>
        <w:tab w:val="left" w:pos="284"/>
      </w:tabs>
    </w:pPr>
  </w:style>
  <w:style w:type="paragraph" w:styleId="NormalWeb">
    <w:name w:val="Normal (Web)"/>
    <w:basedOn w:val="Normal"/>
    <w:uiPriority w:val="99"/>
    <w:unhideWhenUsed/>
    <w:rsid w:val="004C255D"/>
    <w:rPr>
      <w:rFonts w:ascii="Times New Roman" w:hAnsi="Times New Roman" w:cs="Times New Roman"/>
      <w:sz w:val="24"/>
      <w:szCs w:val="24"/>
    </w:rPr>
  </w:style>
  <w:style w:type="paragraph" w:styleId="NormalIndent">
    <w:name w:val="Normal Indent"/>
    <w:basedOn w:val="Normal"/>
    <w:uiPriority w:val="99"/>
    <w:semiHidden/>
    <w:unhideWhenUsed/>
    <w:rsid w:val="004C255D"/>
    <w:pPr>
      <w:ind w:left="720"/>
    </w:pPr>
  </w:style>
  <w:style w:type="paragraph" w:styleId="NoteHeading">
    <w:name w:val="Note Heading"/>
    <w:basedOn w:val="Normal"/>
    <w:next w:val="Normal"/>
    <w:link w:val="NoteHeadingChar"/>
    <w:uiPriority w:val="99"/>
    <w:semiHidden/>
    <w:unhideWhenUsed/>
    <w:rsid w:val="004C255D"/>
    <w:pPr>
      <w:spacing w:line="240" w:lineRule="auto"/>
    </w:pPr>
  </w:style>
  <w:style w:type="character" w:customStyle="1" w:styleId="NoteHeadingChar">
    <w:name w:val="Note Heading Char"/>
    <w:basedOn w:val="DefaultParagraphFont"/>
    <w:link w:val="NoteHeading"/>
    <w:uiPriority w:val="99"/>
    <w:semiHidden/>
    <w:rsid w:val="00F66A91"/>
    <w:rPr>
      <w:kern w:val="18"/>
    </w:rPr>
  </w:style>
  <w:style w:type="character" w:styleId="PageNumber">
    <w:name w:val="page number"/>
    <w:basedOn w:val="DefaultParagraphFont"/>
    <w:uiPriority w:val="99"/>
    <w:semiHidden/>
    <w:unhideWhenUsed/>
    <w:rsid w:val="004C255D"/>
  </w:style>
  <w:style w:type="character" w:styleId="PlaceholderText">
    <w:name w:val="Placeholder Text"/>
    <w:basedOn w:val="DefaultParagraphFont"/>
    <w:uiPriority w:val="99"/>
    <w:semiHidden/>
    <w:unhideWhenUsed/>
    <w:rsid w:val="004C255D"/>
    <w:rPr>
      <w:color w:val="808080"/>
    </w:rPr>
  </w:style>
  <w:style w:type="paragraph" w:styleId="PlainText">
    <w:name w:val="Plain Text"/>
    <w:basedOn w:val="Normal"/>
    <w:link w:val="PlainTextChar"/>
    <w:uiPriority w:val="99"/>
    <w:semiHidden/>
    <w:unhideWhenUsed/>
    <w:rsid w:val="004C255D"/>
    <w:pPr>
      <w:spacing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F66A91"/>
    <w:rPr>
      <w:rFonts w:ascii="Consolas" w:hAnsi="Consolas"/>
      <w:kern w:val="18"/>
      <w:sz w:val="21"/>
      <w:szCs w:val="21"/>
    </w:rPr>
  </w:style>
  <w:style w:type="paragraph" w:styleId="Salutation">
    <w:name w:val="Salutation"/>
    <w:basedOn w:val="Normal"/>
    <w:next w:val="Normal"/>
    <w:link w:val="SalutationChar"/>
    <w:uiPriority w:val="99"/>
    <w:semiHidden/>
    <w:unhideWhenUsed/>
    <w:rsid w:val="004C255D"/>
  </w:style>
  <w:style w:type="character" w:customStyle="1" w:styleId="SalutationChar">
    <w:name w:val="Salutation Char"/>
    <w:basedOn w:val="DefaultParagraphFont"/>
    <w:link w:val="Salutation"/>
    <w:uiPriority w:val="99"/>
    <w:semiHidden/>
    <w:rsid w:val="00F66A91"/>
    <w:rPr>
      <w:kern w:val="18"/>
    </w:rPr>
  </w:style>
  <w:style w:type="paragraph" w:styleId="Signature">
    <w:name w:val="Signature"/>
    <w:basedOn w:val="Normal"/>
    <w:link w:val="SignatureChar"/>
    <w:uiPriority w:val="99"/>
    <w:semiHidden/>
    <w:unhideWhenUsed/>
    <w:rsid w:val="004C255D"/>
    <w:pPr>
      <w:spacing w:line="240" w:lineRule="auto"/>
      <w:ind w:left="4252"/>
    </w:pPr>
  </w:style>
  <w:style w:type="character" w:customStyle="1" w:styleId="SignatureChar">
    <w:name w:val="Signature Char"/>
    <w:basedOn w:val="DefaultParagraphFont"/>
    <w:link w:val="Signature"/>
    <w:uiPriority w:val="99"/>
    <w:semiHidden/>
    <w:rsid w:val="00F66A91"/>
    <w:rPr>
      <w:kern w:val="18"/>
    </w:rPr>
  </w:style>
  <w:style w:type="character" w:styleId="SubtleEmphasis">
    <w:name w:val="Subtle Emphasis"/>
    <w:basedOn w:val="DefaultParagraphFont"/>
    <w:uiPriority w:val="19"/>
    <w:semiHidden/>
    <w:unhideWhenUsed/>
    <w:rsid w:val="004C255D"/>
    <w:rPr>
      <w:i/>
      <w:iCs/>
      <w:color w:val="808080" w:themeColor="text1" w:themeTint="7F"/>
    </w:rPr>
  </w:style>
  <w:style w:type="character" w:styleId="SubtleReference">
    <w:name w:val="Subtle Reference"/>
    <w:basedOn w:val="DefaultParagraphFont"/>
    <w:uiPriority w:val="31"/>
    <w:semiHidden/>
    <w:unhideWhenUsed/>
    <w:rsid w:val="004C255D"/>
    <w:rPr>
      <w:smallCaps/>
      <w:color w:val="84BD00" w:themeColor="accent2"/>
      <w:u w:val="single"/>
    </w:rPr>
  </w:style>
  <w:style w:type="paragraph" w:styleId="TableofAuthorities">
    <w:name w:val="table of authorities"/>
    <w:basedOn w:val="Normal"/>
    <w:next w:val="Normal"/>
    <w:uiPriority w:val="99"/>
    <w:semiHidden/>
    <w:unhideWhenUsed/>
    <w:rsid w:val="004C255D"/>
    <w:pPr>
      <w:tabs>
        <w:tab w:val="clear" w:pos="284"/>
      </w:tabs>
      <w:ind w:left="180" w:hanging="180"/>
    </w:pPr>
  </w:style>
  <w:style w:type="paragraph" w:styleId="TOAHeading">
    <w:name w:val="toa heading"/>
    <w:basedOn w:val="Normal"/>
    <w:next w:val="Normal"/>
    <w:uiPriority w:val="99"/>
    <w:semiHidden/>
    <w:unhideWhenUsed/>
    <w:rsid w:val="004C255D"/>
    <w:pPr>
      <w:spacing w:before="120"/>
    </w:pPr>
    <w:rPr>
      <w:rFonts w:asciiTheme="majorHAnsi" w:eastAsiaTheme="majorEastAsia" w:hAnsiTheme="majorHAnsi" w:cstheme="majorBidi"/>
      <w:b/>
      <w:bCs/>
      <w:sz w:val="24"/>
      <w:szCs w:val="24"/>
    </w:rPr>
  </w:style>
  <w:style w:type="paragraph" w:styleId="TOC4">
    <w:name w:val="toc 4"/>
    <w:basedOn w:val="Normal"/>
    <w:next w:val="Normal"/>
    <w:autoRedefine/>
    <w:uiPriority w:val="39"/>
    <w:unhideWhenUsed/>
    <w:rsid w:val="003964F2"/>
    <w:pPr>
      <w:tabs>
        <w:tab w:val="clear" w:pos="284"/>
        <w:tab w:val="right" w:leader="dot" w:pos="9360"/>
      </w:tabs>
      <w:spacing w:after="40"/>
      <w:ind w:left="1134" w:hanging="567"/>
    </w:pPr>
  </w:style>
  <w:style w:type="paragraph" w:styleId="TOC5">
    <w:name w:val="toc 5"/>
    <w:basedOn w:val="Normal"/>
    <w:next w:val="Normal"/>
    <w:autoRedefine/>
    <w:uiPriority w:val="39"/>
    <w:semiHidden/>
    <w:unhideWhenUsed/>
    <w:rsid w:val="004C255D"/>
    <w:pPr>
      <w:tabs>
        <w:tab w:val="clear" w:pos="284"/>
      </w:tabs>
      <w:spacing w:after="100"/>
      <w:ind w:left="720"/>
    </w:pPr>
  </w:style>
  <w:style w:type="paragraph" w:styleId="TOC6">
    <w:name w:val="toc 6"/>
    <w:basedOn w:val="Normal"/>
    <w:next w:val="Normal"/>
    <w:autoRedefine/>
    <w:uiPriority w:val="39"/>
    <w:semiHidden/>
    <w:unhideWhenUsed/>
    <w:rsid w:val="004C255D"/>
    <w:pPr>
      <w:tabs>
        <w:tab w:val="clear" w:pos="284"/>
      </w:tabs>
      <w:spacing w:after="100"/>
      <w:ind w:left="900"/>
    </w:pPr>
  </w:style>
  <w:style w:type="paragraph" w:styleId="TOC7">
    <w:name w:val="toc 7"/>
    <w:basedOn w:val="Normal"/>
    <w:next w:val="Normal"/>
    <w:autoRedefine/>
    <w:uiPriority w:val="39"/>
    <w:semiHidden/>
    <w:unhideWhenUsed/>
    <w:rsid w:val="004C255D"/>
    <w:pPr>
      <w:tabs>
        <w:tab w:val="clear" w:pos="284"/>
      </w:tabs>
      <w:spacing w:after="100"/>
      <w:ind w:left="1080"/>
    </w:pPr>
  </w:style>
  <w:style w:type="paragraph" w:styleId="TOC8">
    <w:name w:val="toc 8"/>
    <w:basedOn w:val="Normal"/>
    <w:next w:val="Normal"/>
    <w:autoRedefine/>
    <w:uiPriority w:val="39"/>
    <w:semiHidden/>
    <w:unhideWhenUsed/>
    <w:rsid w:val="004C255D"/>
    <w:pPr>
      <w:tabs>
        <w:tab w:val="clear" w:pos="284"/>
      </w:tabs>
      <w:spacing w:after="100"/>
      <w:ind w:left="1260"/>
    </w:pPr>
  </w:style>
  <w:style w:type="paragraph" w:styleId="TOC9">
    <w:name w:val="toc 9"/>
    <w:basedOn w:val="Normal"/>
    <w:next w:val="Normal"/>
    <w:autoRedefine/>
    <w:uiPriority w:val="39"/>
    <w:semiHidden/>
    <w:unhideWhenUsed/>
    <w:rsid w:val="004C255D"/>
    <w:pPr>
      <w:tabs>
        <w:tab w:val="clear" w:pos="284"/>
      </w:tabs>
      <w:spacing w:after="100"/>
      <w:ind w:left="1440"/>
    </w:pPr>
  </w:style>
  <w:style w:type="paragraph" w:customStyle="1" w:styleId="CVHeading">
    <w:name w:val="CV Heading"/>
    <w:basedOn w:val="BodyText"/>
    <w:uiPriority w:val="23"/>
    <w:qFormat/>
    <w:rsid w:val="004C255D"/>
    <w:pPr>
      <w:tabs>
        <w:tab w:val="clear" w:pos="284"/>
      </w:tabs>
    </w:pPr>
    <w:rPr>
      <w:rFonts w:asciiTheme="majorHAnsi" w:hAnsiTheme="majorHAnsi"/>
      <w:b/>
      <w:sz w:val="24"/>
    </w:rPr>
  </w:style>
  <w:style w:type="paragraph" w:customStyle="1" w:styleId="CVIntroduction">
    <w:name w:val="CV Introduction"/>
    <w:basedOn w:val="BodyText"/>
    <w:uiPriority w:val="22"/>
    <w:qFormat/>
    <w:rsid w:val="004C255D"/>
    <w:pPr>
      <w:pBdr>
        <w:top w:val="single" w:sz="4" w:space="6" w:color="auto"/>
        <w:bottom w:val="single" w:sz="4" w:space="6" w:color="auto"/>
      </w:pBdr>
      <w:tabs>
        <w:tab w:val="clear" w:pos="284"/>
      </w:tabs>
    </w:pPr>
    <w:rPr>
      <w:sz w:val="28"/>
    </w:rPr>
  </w:style>
  <w:style w:type="paragraph" w:customStyle="1" w:styleId="CVTitle">
    <w:name w:val="CV Title"/>
    <w:basedOn w:val="Normal"/>
    <w:uiPriority w:val="1"/>
    <w:semiHidden/>
    <w:unhideWhenUsed/>
    <w:rsid w:val="004C255D"/>
    <w:pPr>
      <w:tabs>
        <w:tab w:val="clear" w:pos="284"/>
      </w:tabs>
    </w:pPr>
    <w:rPr>
      <w:rFonts w:asciiTheme="majorHAnsi" w:hAnsiTheme="majorHAnsi"/>
      <w:color w:val="000000" w:themeColor="text1"/>
      <w:sz w:val="32"/>
    </w:rPr>
  </w:style>
  <w:style w:type="table" w:customStyle="1" w:styleId="Tablenoborders">
    <w:name w:val="Table no borders"/>
    <w:basedOn w:val="TableNormal"/>
    <w:uiPriority w:val="99"/>
    <w:semiHidden/>
    <w:unhideWhenUsed/>
    <w:rsid w:val="00C314D3"/>
    <w:tblPr>
      <w:tblCellMar>
        <w:left w:w="0" w:type="dxa"/>
        <w:right w:w="0" w:type="dxa"/>
      </w:tblCellMar>
    </w:tblPr>
  </w:style>
  <w:style w:type="numbering" w:customStyle="1" w:styleId="AECOMTableBullets">
    <w:name w:val="AECOM Table Bullets"/>
    <w:uiPriority w:val="99"/>
    <w:semiHidden/>
    <w:unhideWhenUsed/>
    <w:rsid w:val="002740A7"/>
    <w:pPr>
      <w:numPr>
        <w:numId w:val="16"/>
      </w:numPr>
    </w:pPr>
  </w:style>
  <w:style w:type="numbering" w:customStyle="1" w:styleId="AECOMTableNumbering">
    <w:name w:val="AECOM Table Numbering"/>
    <w:uiPriority w:val="99"/>
    <w:semiHidden/>
    <w:unhideWhenUsed/>
    <w:rsid w:val="002740A7"/>
    <w:pPr>
      <w:numPr>
        <w:numId w:val="17"/>
      </w:numPr>
    </w:pPr>
  </w:style>
  <w:style w:type="paragraph" w:customStyle="1" w:styleId="TableListBullet">
    <w:name w:val="Table List Bullet"/>
    <w:basedOn w:val="Normal"/>
    <w:uiPriority w:val="15"/>
    <w:qFormat/>
    <w:rsid w:val="002740A7"/>
    <w:pPr>
      <w:numPr>
        <w:numId w:val="19"/>
      </w:numPr>
      <w:tabs>
        <w:tab w:val="clear" w:pos="284"/>
      </w:tabs>
      <w:spacing w:after="40" w:line="240" w:lineRule="auto"/>
    </w:pPr>
    <w:rPr>
      <w:sz w:val="18"/>
    </w:rPr>
  </w:style>
  <w:style w:type="paragraph" w:customStyle="1" w:styleId="TableListBullet2">
    <w:name w:val="Table List Bullet 2"/>
    <w:basedOn w:val="Normal"/>
    <w:uiPriority w:val="16"/>
    <w:qFormat/>
    <w:rsid w:val="002740A7"/>
    <w:pPr>
      <w:numPr>
        <w:ilvl w:val="1"/>
        <w:numId w:val="19"/>
      </w:numPr>
      <w:tabs>
        <w:tab w:val="clear" w:pos="284"/>
      </w:tabs>
      <w:spacing w:after="40" w:line="240" w:lineRule="auto"/>
    </w:pPr>
    <w:rPr>
      <w:sz w:val="18"/>
    </w:rPr>
  </w:style>
  <w:style w:type="paragraph" w:customStyle="1" w:styleId="TableListBullet3">
    <w:name w:val="Table List Bullet 3"/>
    <w:basedOn w:val="Normal"/>
    <w:uiPriority w:val="17"/>
    <w:qFormat/>
    <w:rsid w:val="002740A7"/>
    <w:pPr>
      <w:numPr>
        <w:ilvl w:val="2"/>
        <w:numId w:val="19"/>
      </w:numPr>
      <w:tabs>
        <w:tab w:val="clear" w:pos="284"/>
      </w:tabs>
      <w:spacing w:after="40" w:line="240" w:lineRule="auto"/>
    </w:pPr>
    <w:rPr>
      <w:sz w:val="18"/>
    </w:rPr>
  </w:style>
  <w:style w:type="paragraph" w:customStyle="1" w:styleId="TableListNumber">
    <w:name w:val="Table List Number"/>
    <w:basedOn w:val="BodyText"/>
    <w:uiPriority w:val="18"/>
    <w:qFormat/>
    <w:rsid w:val="002740A7"/>
    <w:pPr>
      <w:numPr>
        <w:numId w:val="18"/>
      </w:numPr>
      <w:tabs>
        <w:tab w:val="clear" w:pos="284"/>
      </w:tabs>
      <w:spacing w:after="40" w:line="240" w:lineRule="auto"/>
    </w:pPr>
    <w:rPr>
      <w:sz w:val="18"/>
    </w:rPr>
  </w:style>
  <w:style w:type="paragraph" w:customStyle="1" w:styleId="TableListNumber2">
    <w:name w:val="Table List Number 2"/>
    <w:basedOn w:val="Normal"/>
    <w:uiPriority w:val="19"/>
    <w:qFormat/>
    <w:rsid w:val="002740A7"/>
    <w:pPr>
      <w:numPr>
        <w:ilvl w:val="1"/>
        <w:numId w:val="18"/>
      </w:numPr>
      <w:tabs>
        <w:tab w:val="clear" w:pos="284"/>
      </w:tabs>
      <w:spacing w:after="40" w:line="240" w:lineRule="auto"/>
    </w:pPr>
    <w:rPr>
      <w:sz w:val="18"/>
    </w:rPr>
  </w:style>
  <w:style w:type="paragraph" w:customStyle="1" w:styleId="TableListNumber3">
    <w:name w:val="Table List Number 3"/>
    <w:basedOn w:val="Normal"/>
    <w:uiPriority w:val="20"/>
    <w:qFormat/>
    <w:rsid w:val="002740A7"/>
    <w:pPr>
      <w:numPr>
        <w:ilvl w:val="2"/>
        <w:numId w:val="18"/>
      </w:numPr>
      <w:tabs>
        <w:tab w:val="clear" w:pos="284"/>
      </w:tabs>
      <w:spacing w:after="40" w:line="240" w:lineRule="auto"/>
    </w:pPr>
    <w:rPr>
      <w:sz w:val="18"/>
    </w:rPr>
  </w:style>
  <w:style w:type="paragraph" w:customStyle="1" w:styleId="Tabletext">
    <w:name w:val="Table text"/>
    <w:basedOn w:val="BodyText"/>
    <w:uiPriority w:val="14"/>
    <w:qFormat/>
    <w:rsid w:val="00AA045B"/>
    <w:pPr>
      <w:tabs>
        <w:tab w:val="clear" w:pos="284"/>
      </w:tabs>
      <w:spacing w:before="40" w:after="40" w:line="240" w:lineRule="auto"/>
    </w:pPr>
    <w:rPr>
      <w:sz w:val="18"/>
    </w:rPr>
  </w:style>
  <w:style w:type="paragraph" w:customStyle="1" w:styleId="Callout">
    <w:name w:val="Callout"/>
    <w:basedOn w:val="BodyText"/>
    <w:uiPriority w:val="1"/>
    <w:semiHidden/>
    <w:unhideWhenUsed/>
    <w:rsid w:val="00F352C7"/>
    <w:pPr>
      <w:spacing w:after="60"/>
    </w:pPr>
  </w:style>
  <w:style w:type="paragraph" w:customStyle="1" w:styleId="SQL">
    <w:name w:val="SQL"/>
    <w:uiPriority w:val="1"/>
    <w:semiHidden/>
    <w:unhideWhenUsed/>
    <w:rsid w:val="004D4675"/>
    <w:pPr>
      <w:spacing w:after="120" w:line="240" w:lineRule="atLeast"/>
    </w:pPr>
    <w:rPr>
      <w:sz w:val="16"/>
      <w:lang w:val="en-CA"/>
    </w:rPr>
  </w:style>
  <w:style w:type="table" w:customStyle="1" w:styleId="AECOMcolouredtable">
    <w:name w:val="AECOM coloured table"/>
    <w:basedOn w:val="TableNormal"/>
    <w:uiPriority w:val="99"/>
    <w:semiHidden/>
    <w:unhideWhenUsed/>
    <w:rsid w:val="00890ADA"/>
    <w:tblPr>
      <w:tblStyleRowBandSize w:val="1"/>
    </w:tblPr>
    <w:tblStylePr w:type="firstRow">
      <w:rPr>
        <w:b/>
        <w:color w:val="FFFFFF" w:themeColor="background1"/>
      </w:rPr>
      <w:tblPr/>
      <w:tcPr>
        <w:tcBorders>
          <w:bottom w:val="single" w:sz="12" w:space="0" w:color="FFFFFF" w:themeColor="background1"/>
          <w:insideV w:val="single" w:sz="4" w:space="0" w:color="FFFFFF" w:themeColor="background1"/>
        </w:tcBorders>
        <w:shd w:val="clear" w:color="auto" w:fill="00B5E2" w:themeFill="accent1"/>
      </w:tcPr>
    </w:tblStylePr>
    <w:tblStylePr w:type="firstCol">
      <w:rPr>
        <w:b/>
        <w:color w:val="FFFFFF" w:themeColor="background1"/>
      </w:rPr>
      <w:tblPr/>
      <w:tcPr>
        <w:tcBorders>
          <w:right w:val="single" w:sz="12" w:space="0" w:color="FFFFFF" w:themeColor="background1"/>
        </w:tcBorders>
        <w:shd w:val="clear" w:color="auto" w:fill="00B5E2" w:themeFill="accent1"/>
      </w:tcPr>
    </w:tblStylePr>
    <w:tblStylePr w:type="band1Horz">
      <w:tblPr/>
      <w:tcPr>
        <w:shd w:val="clear" w:color="auto" w:fill="C6F3FF" w:themeFill="accent1" w:themeFillTint="33"/>
      </w:tcPr>
    </w:tblStylePr>
    <w:tblStylePr w:type="band2Horz">
      <w:tblPr/>
      <w:tcPr>
        <w:shd w:val="clear" w:color="auto" w:fill="8DE8FF" w:themeFill="accent1" w:themeFillTint="66"/>
      </w:tcPr>
    </w:tblStylePr>
  </w:style>
  <w:style w:type="paragraph" w:customStyle="1" w:styleId="Appendixheading2">
    <w:name w:val="Appendix heading 2"/>
    <w:basedOn w:val="Heading2"/>
    <w:next w:val="BodyText"/>
    <w:uiPriority w:val="7"/>
    <w:qFormat/>
    <w:rsid w:val="007B7A3A"/>
    <w:pPr>
      <w:numPr>
        <w:numId w:val="21"/>
      </w:numPr>
    </w:pPr>
  </w:style>
  <w:style w:type="character" w:customStyle="1" w:styleId="UnresolvedMention1">
    <w:name w:val="Unresolved Mention1"/>
    <w:basedOn w:val="DefaultParagraphFont"/>
    <w:uiPriority w:val="99"/>
    <w:semiHidden/>
    <w:unhideWhenUsed/>
    <w:rsid w:val="006F2854"/>
    <w:rPr>
      <w:color w:val="808080"/>
      <w:shd w:val="clear" w:color="auto" w:fill="E6E6E6"/>
    </w:rPr>
  </w:style>
  <w:style w:type="paragraph" w:customStyle="1" w:styleId="TableParagraph">
    <w:name w:val="Table Paragraph"/>
    <w:basedOn w:val="Normal"/>
    <w:uiPriority w:val="1"/>
    <w:qFormat/>
    <w:rsid w:val="00607358"/>
    <w:pPr>
      <w:widowControl w:val="0"/>
      <w:tabs>
        <w:tab w:val="clear" w:pos="284"/>
      </w:tabs>
      <w:spacing w:line="240" w:lineRule="auto"/>
    </w:pPr>
    <w:rPr>
      <w:kern w:val="0"/>
      <w:sz w:val="22"/>
      <w:szCs w:val="22"/>
    </w:rPr>
  </w:style>
  <w:style w:type="paragraph" w:customStyle="1" w:styleId="Default">
    <w:name w:val="Default"/>
    <w:rsid w:val="00F505FA"/>
    <w:pPr>
      <w:autoSpaceDE w:val="0"/>
      <w:autoSpaceDN w:val="0"/>
      <w:adjustRightInd w:val="0"/>
    </w:pPr>
    <w:rPr>
      <w:rFonts w:ascii="Calibri" w:hAnsi="Calibri" w:cs="Calibri"/>
      <w:color w:val="000000"/>
      <w:sz w:val="24"/>
      <w:szCs w:val="24"/>
      <w:lang w:val="en-US"/>
    </w:rPr>
  </w:style>
  <w:style w:type="paragraph" w:styleId="Revision">
    <w:name w:val="Revision"/>
    <w:hidden/>
    <w:uiPriority w:val="99"/>
    <w:semiHidden/>
    <w:rsid w:val="007809A4"/>
    <w:rPr>
      <w:kern w:val="18"/>
      <w:sz w:val="20"/>
      <w:lang w:val="en-US"/>
    </w:rPr>
  </w:style>
  <w:style w:type="character" w:customStyle="1" w:styleId="UnresolvedMention">
    <w:name w:val="Unresolved Mention"/>
    <w:basedOn w:val="DefaultParagraphFont"/>
    <w:uiPriority w:val="99"/>
    <w:semiHidden/>
    <w:unhideWhenUsed/>
    <w:rsid w:val="00CB3DAD"/>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9899067">
      <w:bodyDiv w:val="1"/>
      <w:marLeft w:val="0"/>
      <w:marRight w:val="0"/>
      <w:marTop w:val="0"/>
      <w:marBottom w:val="0"/>
      <w:divBdr>
        <w:top w:val="none" w:sz="0" w:space="0" w:color="auto"/>
        <w:left w:val="none" w:sz="0" w:space="0" w:color="auto"/>
        <w:bottom w:val="none" w:sz="0" w:space="0" w:color="auto"/>
        <w:right w:val="none" w:sz="0" w:space="0" w:color="auto"/>
      </w:divBdr>
    </w:div>
    <w:div w:id="209270954">
      <w:bodyDiv w:val="1"/>
      <w:marLeft w:val="0"/>
      <w:marRight w:val="0"/>
      <w:marTop w:val="0"/>
      <w:marBottom w:val="0"/>
      <w:divBdr>
        <w:top w:val="none" w:sz="0" w:space="0" w:color="auto"/>
        <w:left w:val="none" w:sz="0" w:space="0" w:color="auto"/>
        <w:bottom w:val="none" w:sz="0" w:space="0" w:color="auto"/>
        <w:right w:val="none" w:sz="0" w:space="0" w:color="auto"/>
      </w:divBdr>
    </w:div>
    <w:div w:id="343244354">
      <w:bodyDiv w:val="1"/>
      <w:marLeft w:val="0"/>
      <w:marRight w:val="0"/>
      <w:marTop w:val="0"/>
      <w:marBottom w:val="0"/>
      <w:divBdr>
        <w:top w:val="none" w:sz="0" w:space="0" w:color="auto"/>
        <w:left w:val="none" w:sz="0" w:space="0" w:color="auto"/>
        <w:bottom w:val="none" w:sz="0" w:space="0" w:color="auto"/>
        <w:right w:val="none" w:sz="0" w:space="0" w:color="auto"/>
      </w:divBdr>
    </w:div>
    <w:div w:id="407269465">
      <w:bodyDiv w:val="1"/>
      <w:marLeft w:val="0"/>
      <w:marRight w:val="0"/>
      <w:marTop w:val="0"/>
      <w:marBottom w:val="0"/>
      <w:divBdr>
        <w:top w:val="none" w:sz="0" w:space="0" w:color="auto"/>
        <w:left w:val="none" w:sz="0" w:space="0" w:color="auto"/>
        <w:bottom w:val="none" w:sz="0" w:space="0" w:color="auto"/>
        <w:right w:val="none" w:sz="0" w:space="0" w:color="auto"/>
      </w:divBdr>
    </w:div>
    <w:div w:id="436367164">
      <w:bodyDiv w:val="1"/>
      <w:marLeft w:val="0"/>
      <w:marRight w:val="0"/>
      <w:marTop w:val="0"/>
      <w:marBottom w:val="0"/>
      <w:divBdr>
        <w:top w:val="none" w:sz="0" w:space="0" w:color="auto"/>
        <w:left w:val="none" w:sz="0" w:space="0" w:color="auto"/>
        <w:bottom w:val="none" w:sz="0" w:space="0" w:color="auto"/>
        <w:right w:val="none" w:sz="0" w:space="0" w:color="auto"/>
      </w:divBdr>
    </w:div>
    <w:div w:id="748037268">
      <w:bodyDiv w:val="1"/>
      <w:marLeft w:val="0"/>
      <w:marRight w:val="0"/>
      <w:marTop w:val="0"/>
      <w:marBottom w:val="0"/>
      <w:divBdr>
        <w:top w:val="none" w:sz="0" w:space="0" w:color="auto"/>
        <w:left w:val="none" w:sz="0" w:space="0" w:color="auto"/>
        <w:bottom w:val="none" w:sz="0" w:space="0" w:color="auto"/>
        <w:right w:val="none" w:sz="0" w:space="0" w:color="auto"/>
      </w:divBdr>
    </w:div>
    <w:div w:id="801845819">
      <w:bodyDiv w:val="1"/>
      <w:marLeft w:val="0"/>
      <w:marRight w:val="0"/>
      <w:marTop w:val="0"/>
      <w:marBottom w:val="0"/>
      <w:divBdr>
        <w:top w:val="none" w:sz="0" w:space="0" w:color="auto"/>
        <w:left w:val="none" w:sz="0" w:space="0" w:color="auto"/>
        <w:bottom w:val="none" w:sz="0" w:space="0" w:color="auto"/>
        <w:right w:val="none" w:sz="0" w:space="0" w:color="auto"/>
      </w:divBdr>
    </w:div>
    <w:div w:id="830759038">
      <w:bodyDiv w:val="1"/>
      <w:marLeft w:val="0"/>
      <w:marRight w:val="0"/>
      <w:marTop w:val="0"/>
      <w:marBottom w:val="0"/>
      <w:divBdr>
        <w:top w:val="none" w:sz="0" w:space="0" w:color="auto"/>
        <w:left w:val="none" w:sz="0" w:space="0" w:color="auto"/>
        <w:bottom w:val="none" w:sz="0" w:space="0" w:color="auto"/>
        <w:right w:val="none" w:sz="0" w:space="0" w:color="auto"/>
      </w:divBdr>
    </w:div>
    <w:div w:id="870456458">
      <w:bodyDiv w:val="1"/>
      <w:marLeft w:val="0"/>
      <w:marRight w:val="0"/>
      <w:marTop w:val="0"/>
      <w:marBottom w:val="0"/>
      <w:divBdr>
        <w:top w:val="none" w:sz="0" w:space="0" w:color="auto"/>
        <w:left w:val="none" w:sz="0" w:space="0" w:color="auto"/>
        <w:bottom w:val="none" w:sz="0" w:space="0" w:color="auto"/>
        <w:right w:val="none" w:sz="0" w:space="0" w:color="auto"/>
      </w:divBdr>
    </w:div>
    <w:div w:id="1308164268">
      <w:bodyDiv w:val="1"/>
      <w:marLeft w:val="0"/>
      <w:marRight w:val="0"/>
      <w:marTop w:val="0"/>
      <w:marBottom w:val="0"/>
      <w:divBdr>
        <w:top w:val="none" w:sz="0" w:space="0" w:color="auto"/>
        <w:left w:val="none" w:sz="0" w:space="0" w:color="auto"/>
        <w:bottom w:val="none" w:sz="0" w:space="0" w:color="auto"/>
        <w:right w:val="none" w:sz="0" w:space="0" w:color="auto"/>
      </w:divBdr>
    </w:div>
    <w:div w:id="1776318024">
      <w:bodyDiv w:val="1"/>
      <w:marLeft w:val="0"/>
      <w:marRight w:val="0"/>
      <w:marTop w:val="0"/>
      <w:marBottom w:val="0"/>
      <w:divBdr>
        <w:top w:val="none" w:sz="0" w:space="0" w:color="auto"/>
        <w:left w:val="none" w:sz="0" w:space="0" w:color="auto"/>
        <w:bottom w:val="none" w:sz="0" w:space="0" w:color="auto"/>
        <w:right w:val="none" w:sz="0" w:space="0" w:color="auto"/>
      </w:divBdr>
    </w:div>
    <w:div w:id="1834372879">
      <w:bodyDiv w:val="1"/>
      <w:marLeft w:val="0"/>
      <w:marRight w:val="0"/>
      <w:marTop w:val="0"/>
      <w:marBottom w:val="0"/>
      <w:divBdr>
        <w:top w:val="none" w:sz="0" w:space="0" w:color="auto"/>
        <w:left w:val="none" w:sz="0" w:space="0" w:color="auto"/>
        <w:bottom w:val="none" w:sz="0" w:space="0" w:color="auto"/>
        <w:right w:val="none" w:sz="0" w:space="0" w:color="auto"/>
      </w:divBdr>
    </w:div>
    <w:div w:id="2119521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5.jpe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8.png"/><Relationship Id="rId10" Type="http://schemas.openxmlformats.org/officeDocument/2006/relationships/header" Target="header1.xml"/><Relationship Id="rId19" Type="http://schemas.openxmlformats.org/officeDocument/2006/relationships/image" Target="media/image10.jpe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hyperlink" Target="http://wisconsindot.gov/Documents/doing-bus/local-gov/hwy-mnt/winter-maintenance/workers/2016-2017annualreport.pdf" TargetMode="External"/><Relationship Id="rId30" Type="http://schemas.openxmlformats.org/officeDocument/2006/relationships/image" Target="media/image20.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trrjournalonline.trb.org/doi/abs/10.3141/2272-16" TargetMode="External"/><Relationship Id="rId1" Type="http://schemas.openxmlformats.org/officeDocument/2006/relationships/hyperlink" Target="http://wisconsindot.gov/Documents/doing-bus/local-gov/hwy-mnt/winter-maintenance/workers/2016-2017annualreport.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ng_shiun_lee\AppData\Roaming\Microsoft\Templates\AECOM_Report.dotm" TargetMode="External"/></Relationships>
</file>

<file path=word/theme/theme1.xml><?xml version="1.0" encoding="utf-8"?>
<a:theme xmlns:a="http://schemas.openxmlformats.org/drawingml/2006/main" name="Office Theme">
  <a:themeElements>
    <a:clrScheme name="AECOM">
      <a:dk1>
        <a:sysClr val="windowText" lastClr="000000"/>
      </a:dk1>
      <a:lt1>
        <a:sysClr val="window" lastClr="FFFFFF"/>
      </a:lt1>
      <a:dk2>
        <a:srgbClr val="000000"/>
      </a:dk2>
      <a:lt2>
        <a:srgbClr val="FFFFFF"/>
      </a:lt2>
      <a:accent1>
        <a:srgbClr val="00B5E2"/>
      </a:accent1>
      <a:accent2>
        <a:srgbClr val="84BD00"/>
      </a:accent2>
      <a:accent3>
        <a:srgbClr val="F68B1F"/>
      </a:accent3>
      <a:accent4>
        <a:srgbClr val="9E007E"/>
      </a:accent4>
      <a:accent5>
        <a:srgbClr val="FFE512"/>
      </a:accent5>
      <a:accent6>
        <a:srgbClr val="8C8279"/>
      </a:accent6>
      <a:hlink>
        <a:srgbClr val="63C1DF"/>
      </a:hlink>
      <a:folHlink>
        <a:srgbClr val="9C0880"/>
      </a:folHlink>
    </a:clrScheme>
    <a:fontScheme name="AECOM 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FBF366-7221-4E80-B511-C59F978F4A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AECOM_Report</Template>
  <TotalTime>1</TotalTime>
  <Pages>31</Pages>
  <Words>9445</Words>
  <Characters>53838</Characters>
  <Application>Microsoft Office Word</Application>
  <DocSecurity>0</DocSecurity>
  <Lines>448</Lines>
  <Paragraphs>126</Paragraphs>
  <ScaleCrop>false</ScaleCrop>
  <HeadingPairs>
    <vt:vector size="2" baseType="variant">
      <vt:variant>
        <vt:lpstr>Title</vt:lpstr>
      </vt:variant>
      <vt:variant>
        <vt:i4>1</vt:i4>
      </vt:variant>
    </vt:vector>
  </HeadingPairs>
  <TitlesOfParts>
    <vt:vector size="1" baseType="lpstr">
      <vt:lpstr>Dan Nelson Report Tier 1 Case Study Report: Wisconsin DOT AVL / GPS System Use 2018-01-31</vt:lpstr>
    </vt:vector>
  </TitlesOfParts>
  <Company>AECOM</Company>
  <LinksUpToDate>false</LinksUpToDate>
  <CharactersWithSpaces>63157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 Nelson Report Tier 1 Case Study Report: Wisconsin DOT AVL / GPS System Use 2018-01-31</dc:title>
  <dc:creator>AECOM</dc:creator>
  <cp:keywords>Project ref: Clear Roads Project 16-01: Utilization of AVL/GPS Technology: Case Studies  Project number: 60535309</cp:keywords>
  <cp:lastModifiedBy>Greg</cp:lastModifiedBy>
  <cp:revision>2</cp:revision>
  <cp:lastPrinted>2018-05-11T21:59:00Z</cp:lastPrinted>
  <dcterms:created xsi:type="dcterms:W3CDTF">2018-06-23T00:09:00Z</dcterms:created>
  <dcterms:modified xsi:type="dcterms:W3CDTF">2018-06-23T00:09:00Z</dcterms:modified>
  <cp:category>Report</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
    <vt:lpwstr>AECOM_Report</vt:lpwstr>
  </property>
  <property fmtid="{D5CDD505-2E9C-101B-9397-08002B2CF9AE}" pid="3" name="TemplateVersion">
    <vt:lpwstr>1.7</vt:lpwstr>
  </property>
  <property fmtid="{D5CDD505-2E9C-101B-9397-08002B2CF9AE}" pid="4" name="HeaderTitle">
    <vt:lpwstr>Tier 1 Case Study Report: Wisconsin DOT AVL / GPS System Use</vt:lpwstr>
  </property>
  <property fmtid="{D5CDD505-2E9C-101B-9397-08002B2CF9AE}" pid="5" name="ProtectiveMarking">
    <vt:lpwstr/>
  </property>
  <property fmtid="{D5CDD505-2E9C-101B-9397-08002B2CF9AE}" pid="6" name="HeaderClient">
    <vt:lpwstr> </vt:lpwstr>
  </property>
  <property fmtid="{D5CDD505-2E9C-101B-9397-08002B2CF9AE}" pid="7" name="AdditionalCompanyName">
    <vt:lpwstr/>
  </property>
  <property fmtid="{D5CDD505-2E9C-101B-9397-08002B2CF9AE}" pid="8" name="ClientName">
    <vt:lpwstr/>
  </property>
  <property fmtid="{D5CDD505-2E9C-101B-9397-08002B2CF9AE}" pid="9" name="TenderStage">
    <vt:lpwstr/>
  </property>
  <property fmtid="{D5CDD505-2E9C-101B-9397-08002B2CF9AE}" pid="10" name="ProjectRef">
    <vt:lpwstr>Project reference: Clear Roads Project 16-01: Utilization of AVL / GPS Technology: Case Studies</vt:lpwstr>
  </property>
  <property fmtid="{D5CDD505-2E9C-101B-9397-08002B2CF9AE}" pid="11" name="ProjectNumber">
    <vt:lpwstr>Project number: 60535309</vt:lpwstr>
  </property>
  <property fmtid="{D5CDD505-2E9C-101B-9397-08002B2CF9AE}" pid="12" name="CopyNo">
    <vt:lpwstr>&lt;CopyNo&gt;</vt:lpwstr>
  </property>
  <property fmtid="{D5CDD505-2E9C-101B-9397-08002B2CF9AE}" pid="13" name="CopyNoTotal">
    <vt:lpwstr>&lt;CopyNoTotal&gt;</vt:lpwstr>
  </property>
  <property fmtid="{D5CDD505-2E9C-101B-9397-08002B2CF9AE}" pid="14" name="SupplementaryTitle">
    <vt:lpwstr/>
  </property>
  <property fmtid="{D5CDD505-2E9C-101B-9397-08002B2CF9AE}" pid="15" name="Subtitle">
    <vt:lpwstr>Clear Roads Project 16-01: Utilization of AVL / GPS Technology: Case Studies</vt:lpwstr>
  </property>
  <property fmtid="{D5CDD505-2E9C-101B-9397-08002B2CF9AE}" pid="16" name="DocumentReference">
    <vt:lpwstr/>
  </property>
  <property fmtid="{D5CDD505-2E9C-101B-9397-08002B2CF9AE}" pid="17" name="Date">
    <vt:lpwstr>August 7, 2017</vt:lpwstr>
  </property>
  <property fmtid="{D5CDD505-2E9C-101B-9397-08002B2CF9AE}" pid="18" name="Copies">
    <vt:lpwstr/>
  </property>
  <property fmtid="{D5CDD505-2E9C-101B-9397-08002B2CF9AE}" pid="19" name="ProjectRefSlash">
    <vt:lpwstr> / </vt:lpwstr>
  </property>
  <property fmtid="{D5CDD505-2E9C-101B-9397-08002B2CF9AE}" pid="20" name="DocumentTitle">
    <vt:lpwstr>Tier 1 Case Study Report: Wisconsin DOT AVL / GPS System Use</vt:lpwstr>
  </property>
  <property fmtid="{D5CDD505-2E9C-101B-9397-08002B2CF9AE}" pid="21" name="FooterClientAddress">
    <vt:lpwstr/>
  </property>
  <property fmtid="{D5CDD505-2E9C-101B-9397-08002B2CF9AE}" pid="22" name="ClientNumber">
    <vt:lpwstr> </vt:lpwstr>
  </property>
  <property fmtid="{D5CDD505-2E9C-101B-9397-08002B2CF9AE}" pid="23" name="Draft">
    <vt:lpwstr>DRAFT</vt:lpwstr>
  </property>
  <property fmtid="{D5CDD505-2E9C-101B-9397-08002B2CF9AE}" pid="24" name="AccreditationText">
    <vt:lpwstr/>
  </property>
  <property fmtid="{D5CDD505-2E9C-101B-9397-08002B2CF9AE}" pid="25" name="GreenInitiative">
    <vt:lpwstr/>
  </property>
  <property fmtid="{D5CDD505-2E9C-101B-9397-08002B2CF9AE}" pid="26" name="PreparedBy">
    <vt:lpwstr>&lt;PreparedBy&gt;</vt:lpwstr>
  </property>
  <property fmtid="{D5CDD505-2E9C-101B-9397-08002B2CF9AE}" pid="27" name="ShowFilePath">
    <vt:lpwstr>0</vt:lpwstr>
  </property>
  <property fmtid="{D5CDD505-2E9C-101B-9397-08002B2CF9AE}" pid="28" name="PreparedFor">
    <vt:lpwstr> </vt:lpwstr>
  </property>
  <property fmtid="{D5CDD505-2E9C-101B-9397-08002B2CF9AE}" pid="29" name="InAssociationWith">
    <vt:lpwstr> </vt:lpwstr>
  </property>
  <property fmtid="{D5CDD505-2E9C-101B-9397-08002B2CF9AE}" pid="30" name="ShowFileName">
    <vt:lpwstr>0</vt:lpwstr>
  </property>
</Properties>
</file>